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4301"/>
        <w:gridCol w:w="1134"/>
        <w:gridCol w:w="814"/>
      </w:tblGrid>
      <w:tr w:rsidR="00023A99" w:rsidRPr="00F02E5D" w:rsidTr="00822BD6">
        <w:tc>
          <w:tcPr>
            <w:tcW w:w="3037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DD23B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6249" w:type="dxa"/>
            <w:gridSpan w:val="3"/>
            <w:shd w:val="clear" w:color="auto" w:fill="auto"/>
          </w:tcPr>
          <w:p w:rsidR="00023A99" w:rsidRPr="0035110F" w:rsidRDefault="009116C0" w:rsidP="004C0125">
            <w:proofErr w:type="spellStart"/>
            <w:r w:rsidRPr="0035110F">
              <w:t>Behawiorystyka</w:t>
            </w:r>
            <w:proofErr w:type="spellEnd"/>
            <w:r w:rsidRPr="0035110F">
              <w:t xml:space="preserve"> zwierząt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Nazwa modułu, także nazwa w języku angielskim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9116C0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Badania molekularne w etologii</w:t>
            </w:r>
          </w:p>
          <w:p w:rsidR="009116C0" w:rsidRPr="0035110F" w:rsidRDefault="009116C0" w:rsidP="009116C0">
            <w:pPr>
              <w:rPr>
                <w:sz w:val="20"/>
                <w:szCs w:val="20"/>
              </w:rPr>
            </w:pPr>
            <w:proofErr w:type="spellStart"/>
            <w:r w:rsidRPr="0035110F">
              <w:rPr>
                <w:sz w:val="20"/>
                <w:szCs w:val="20"/>
              </w:rPr>
              <w:t>Molecular</w:t>
            </w:r>
            <w:proofErr w:type="spellEnd"/>
            <w:r w:rsidRPr="0035110F">
              <w:rPr>
                <w:sz w:val="20"/>
                <w:szCs w:val="20"/>
              </w:rPr>
              <w:t xml:space="preserve"> </w:t>
            </w:r>
            <w:proofErr w:type="spellStart"/>
            <w:r w:rsidRPr="0035110F">
              <w:rPr>
                <w:sz w:val="20"/>
                <w:szCs w:val="20"/>
              </w:rPr>
              <w:t>studies</w:t>
            </w:r>
            <w:proofErr w:type="spellEnd"/>
            <w:r w:rsidRPr="0035110F">
              <w:rPr>
                <w:sz w:val="20"/>
                <w:szCs w:val="20"/>
              </w:rPr>
              <w:t xml:space="preserve"> </w:t>
            </w:r>
            <w:proofErr w:type="spellStart"/>
            <w:r w:rsidRPr="0035110F">
              <w:rPr>
                <w:sz w:val="20"/>
                <w:szCs w:val="20"/>
              </w:rPr>
              <w:t>in</w:t>
            </w:r>
            <w:proofErr w:type="spellEnd"/>
            <w:r w:rsidRPr="0035110F">
              <w:rPr>
                <w:sz w:val="20"/>
                <w:szCs w:val="20"/>
              </w:rPr>
              <w:t xml:space="preserve"> </w:t>
            </w:r>
            <w:proofErr w:type="spellStart"/>
            <w:r w:rsidRPr="0035110F">
              <w:rPr>
                <w:sz w:val="20"/>
                <w:szCs w:val="20"/>
              </w:rPr>
              <w:t>ethology</w:t>
            </w:r>
            <w:proofErr w:type="spellEnd"/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Język wykładowy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9116C0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polski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9116C0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obo</w:t>
            </w:r>
            <w:r w:rsidRPr="0035110F">
              <w:rPr>
                <w:strike/>
                <w:sz w:val="20"/>
                <w:szCs w:val="20"/>
              </w:rPr>
              <w:t>wiązkowy/</w:t>
            </w:r>
            <w:r w:rsidRPr="0035110F">
              <w:rPr>
                <w:sz w:val="20"/>
                <w:szCs w:val="20"/>
              </w:rPr>
              <w:t>fakultatywny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Poziom studiów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9116C0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pierwszego stopnia/</w:t>
            </w:r>
            <w:r w:rsidRPr="0035110F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Default="009116C0" w:rsidP="009116C0">
            <w:r w:rsidRPr="00F02E5D">
              <w:t>Forma studiów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9116C0" w:rsidP="009116C0">
            <w:pPr>
              <w:rPr>
                <w:sz w:val="20"/>
                <w:szCs w:val="20"/>
              </w:rPr>
            </w:pPr>
            <w:r w:rsidRPr="00D70FCA">
              <w:rPr>
                <w:strike/>
                <w:sz w:val="20"/>
                <w:szCs w:val="20"/>
              </w:rPr>
              <w:t>stacjonarne</w:t>
            </w:r>
            <w:r w:rsidRPr="0035110F">
              <w:rPr>
                <w:sz w:val="20"/>
                <w:szCs w:val="20"/>
              </w:rPr>
              <w:t>/</w:t>
            </w:r>
            <w:r w:rsidRPr="00D70FCA">
              <w:rPr>
                <w:sz w:val="20"/>
                <w:szCs w:val="20"/>
              </w:rPr>
              <w:t>niestacjonarne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Rok studiów dla kierunku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9116C0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IV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Semestr dla kierunku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4C2D49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8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CB1AA6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3</w:t>
            </w:r>
            <w:r w:rsidR="009116C0" w:rsidRPr="0035110F">
              <w:rPr>
                <w:sz w:val="20"/>
                <w:szCs w:val="20"/>
              </w:rPr>
              <w:t xml:space="preserve"> (</w:t>
            </w:r>
            <w:r w:rsidRPr="0035110F">
              <w:rPr>
                <w:sz w:val="20"/>
                <w:szCs w:val="20"/>
              </w:rPr>
              <w:t>1,4</w:t>
            </w:r>
            <w:r w:rsidR="009116C0" w:rsidRPr="0035110F">
              <w:rPr>
                <w:sz w:val="20"/>
                <w:szCs w:val="20"/>
              </w:rPr>
              <w:t>/</w:t>
            </w:r>
            <w:r w:rsidRPr="0035110F">
              <w:rPr>
                <w:sz w:val="20"/>
                <w:szCs w:val="20"/>
              </w:rPr>
              <w:t>1,6</w:t>
            </w:r>
            <w:r w:rsidR="009116C0" w:rsidRPr="0035110F">
              <w:rPr>
                <w:sz w:val="20"/>
                <w:szCs w:val="20"/>
              </w:rPr>
              <w:t>)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dr hab. Andrzej Jakubczak</w:t>
            </w:r>
          </w:p>
          <w:p w:rsidR="009116C0" w:rsidRPr="0035110F" w:rsidRDefault="009116C0" w:rsidP="009116C0">
            <w:pPr>
              <w:rPr>
                <w:sz w:val="20"/>
                <w:szCs w:val="20"/>
              </w:rPr>
            </w:pP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Jednostka oferująca moduł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35110F" w:rsidRDefault="00CB1AA6" w:rsidP="009116C0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Cel modułu</w:t>
            </w:r>
          </w:p>
          <w:p w:rsidR="00CB1AA6" w:rsidRPr="00F02E5D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Zapoznanie studentów z mechanizmami molekularnymi (na poziomie kwasów nukleinowych) odpowiadającymi za zachowanie, na przykładach obejmujących modelowe organizmy zwierzęce. Molekularne podłoże zaburzeń w zachowaniu.</w:t>
            </w:r>
          </w:p>
        </w:tc>
      </w:tr>
      <w:tr w:rsidR="00AB5705" w:rsidRPr="00F02E5D" w:rsidTr="00822BD6">
        <w:trPr>
          <w:trHeight w:val="236"/>
        </w:trPr>
        <w:tc>
          <w:tcPr>
            <w:tcW w:w="3037" w:type="dxa"/>
            <w:vMerge w:val="restart"/>
            <w:shd w:val="clear" w:color="auto" w:fill="auto"/>
          </w:tcPr>
          <w:p w:rsidR="00AB5705" w:rsidRPr="00F02E5D" w:rsidRDefault="00AB5705" w:rsidP="00AB5705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 xml:space="preserve">Wiedza: </w:t>
            </w:r>
          </w:p>
        </w:tc>
      </w:tr>
      <w:tr w:rsidR="00AB5705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AB5705" w:rsidRPr="00F02E5D" w:rsidRDefault="00AB5705" w:rsidP="00AB5705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 xml:space="preserve">1. Student zna i rozumie mechanizmy genetyczne i biologiczne zachodzące w organizmie, metody i specyfikę pracy hodowlanej poszczególnych gatunków zwierząt, różnice w użytkowaniu zwierząt z uwzględnieniem ich specyfiki gatunkowej i rasowej </w:t>
            </w:r>
          </w:p>
        </w:tc>
      </w:tr>
      <w:tr w:rsidR="00AB5705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AB5705" w:rsidRPr="00F02E5D" w:rsidRDefault="00AB5705" w:rsidP="00AB5705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>2. Absolwent zna i rozumie techniki dotyczący oceny behawioru, stanu zdrowia zwierząt oraz czynników wpływających na behawior i zdrowie, wpływ warunków utrzymania zapewniających szeroko pojęty dobrostan poszczególnych gatunków i grup zwierząt</w:t>
            </w:r>
          </w:p>
        </w:tc>
      </w:tr>
      <w:tr w:rsidR="00AB5705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AB5705" w:rsidRPr="00F02E5D" w:rsidRDefault="00AB5705" w:rsidP="00AB5705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>Umiejętności:</w:t>
            </w:r>
          </w:p>
        </w:tc>
      </w:tr>
      <w:tr w:rsidR="00AB5705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AB5705" w:rsidRPr="00F02E5D" w:rsidRDefault="00AB5705" w:rsidP="00AB5705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 xml:space="preserve">1. Student potrafi planować doświadczenia zgodne ze studiowanym kierunkiem studiów, interpretować wyniki badań oraz formułować na ich podstawie właściwe wnioski, wyszukiwać, zrozumieć, przeanalizować oraz wykorzystać potrzebne informacje pochodzące z różnych źródeł </w:t>
            </w:r>
          </w:p>
        </w:tc>
      </w:tr>
      <w:tr w:rsidR="00AB5705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AB5705" w:rsidRPr="00F02E5D" w:rsidRDefault="00AB5705" w:rsidP="00AB5705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>Kompetencje społeczne:</w:t>
            </w:r>
          </w:p>
        </w:tc>
      </w:tr>
      <w:tr w:rsidR="00AB5705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AB5705" w:rsidRPr="00F02E5D" w:rsidRDefault="00AB5705" w:rsidP="00AB5705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AB5705" w:rsidRPr="0035110F" w:rsidRDefault="00AB5705" w:rsidP="00AB5705">
            <w:pPr>
              <w:rPr>
                <w:sz w:val="20"/>
                <w:szCs w:val="20"/>
                <w:highlight w:val="yellow"/>
              </w:rPr>
            </w:pPr>
            <w:r w:rsidRPr="00B97FC9">
              <w:rPr>
                <w:sz w:val="20"/>
                <w:szCs w:val="20"/>
              </w:rPr>
              <w:t xml:space="preserve">1. Absolwent potrafi korzystać z wiedzy w pracy zawodowej oraz komunikować się z otoczeniem na poziomie werbalnym, pisemnym i graficznym (także w języku obcym), przygotowywać prace pisemne w języku polskim i/lub obcym związanych z kierunkiem studiów, prezentować wyniki badań związanych z kierunkiem studiów w formie ustnej w języku polskim i/lub obcym 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bookmarkStart w:id="0" w:name="_GoBack"/>
            <w:bookmarkEnd w:id="0"/>
            <w:r w:rsidRPr="00F02E5D">
              <w:t xml:space="preserve">Wymagania wstępne i dodatkowe 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Zaliczony moduł/przedmiot genetyka/biochemia/ biologia komórki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 xml:space="preserve">Treści programowe modułu </w:t>
            </w:r>
          </w:p>
          <w:p w:rsidR="00CB1AA6" w:rsidRPr="00F02E5D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lastRenderedPageBreak/>
              <w:t xml:space="preserve">Poznanie przyczyn zmienności fenotypowej dotyczącej zachowań, </w:t>
            </w:r>
            <w:r w:rsidRPr="0035110F">
              <w:rPr>
                <w:sz w:val="20"/>
                <w:szCs w:val="20"/>
              </w:rPr>
              <w:lastRenderedPageBreak/>
              <w:t xml:space="preserve">obserwowanej w populacjach w oparciu o metody eksperymentalne biologii molekularnej. Przedmiot obejmuje zapoznanie ze zróżnicowanymi strategiami badawczymi stosowanymi do badania czynników genetycznych i środowiskowych, dzięki którym możliwa będzie identyfikacja poszczególnych genów bądź układów odpowiadających za zachowania ludzi i zwierząt. 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lastRenderedPageBreak/>
              <w:t>Wykaz literatury podstawowej i uzupełniającej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rPr>
                <w:sz w:val="20"/>
                <w:szCs w:val="20"/>
                <w:lang w:val="en-US"/>
              </w:rPr>
            </w:pPr>
            <w:r w:rsidRPr="0035110F">
              <w:rPr>
                <w:sz w:val="20"/>
                <w:szCs w:val="20"/>
              </w:rPr>
              <w:t xml:space="preserve">1. </w:t>
            </w:r>
            <w:proofErr w:type="spellStart"/>
            <w:r w:rsidRPr="0035110F">
              <w:rPr>
                <w:sz w:val="20"/>
                <w:szCs w:val="20"/>
              </w:rPr>
              <w:t>Kalat</w:t>
            </w:r>
            <w:proofErr w:type="spellEnd"/>
            <w:r w:rsidRPr="0035110F">
              <w:rPr>
                <w:sz w:val="20"/>
                <w:szCs w:val="20"/>
              </w:rPr>
              <w:t xml:space="preserve"> J.W. 2006. Biologiczne podstawy psychologii. </w:t>
            </w:r>
            <w:r w:rsidRPr="0035110F">
              <w:rPr>
                <w:sz w:val="20"/>
                <w:szCs w:val="20"/>
                <w:lang w:val="en-US"/>
              </w:rPr>
              <w:t>PWN, Warszawa.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  <w:lang w:val="en-US"/>
              </w:rPr>
              <w:t xml:space="preserve">2. Plomin R., </w:t>
            </w:r>
            <w:proofErr w:type="spellStart"/>
            <w:r w:rsidRPr="0035110F">
              <w:rPr>
                <w:sz w:val="20"/>
                <w:szCs w:val="20"/>
                <w:lang w:val="en-US"/>
              </w:rPr>
              <w:t>DeFries</w:t>
            </w:r>
            <w:proofErr w:type="spellEnd"/>
            <w:r w:rsidRPr="0035110F">
              <w:rPr>
                <w:sz w:val="20"/>
                <w:szCs w:val="20"/>
                <w:lang w:val="en-US"/>
              </w:rPr>
              <w:t xml:space="preserve"> J. C., </w:t>
            </w:r>
            <w:proofErr w:type="spellStart"/>
            <w:r w:rsidRPr="0035110F">
              <w:rPr>
                <w:sz w:val="20"/>
                <w:szCs w:val="20"/>
                <w:lang w:val="en-US"/>
              </w:rPr>
              <w:t>McClearn</w:t>
            </w:r>
            <w:proofErr w:type="spellEnd"/>
            <w:r w:rsidRPr="0035110F">
              <w:rPr>
                <w:sz w:val="20"/>
                <w:szCs w:val="20"/>
                <w:lang w:val="en-US"/>
              </w:rPr>
              <w:t xml:space="preserve"> G. E., McGuffin P. 2001. </w:t>
            </w:r>
            <w:r w:rsidRPr="0035110F">
              <w:rPr>
                <w:sz w:val="20"/>
                <w:szCs w:val="20"/>
              </w:rPr>
              <w:t>Genetyka zachowania. PWN, Warszawa.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3. Sadowski . B. 2005. Biologiczne mechanizmy zachowania się ludzi i zwierząt. PWN, Warszawa.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4. Węgleński P. 2012. Genetyka molekularna. PWN, Warszawa.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Planowane formy/działania/metody dydaktyczne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Metody dydaktyczne: </w:t>
            </w:r>
          </w:p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Wykład: wykład informacyjny, wykład konwersatoryjny, wykład z prezentacją multimedialną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Ćwiczenia audytoryjne: ćwiczenia przedmiotowe, analiza tekstów z dyskusją (praca z publikacją - artykuł), praca w grupach, dyskusja, wykonanie projektu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Ćwiczenia laboratoryjne: ćwiczenia praktyczne, wykonanie sprawozdania z ćwiczeń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Sposoby weryfikacji oraz formy dokumentowania osiągniętych efektów uczenia się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Kryteria stosowane przy ocenie</w:t>
            </w:r>
          </w:p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Wiedza: Zaliczenie pisemne. </w:t>
            </w:r>
          </w:p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Umiejętności: Przygotowanie i zaprezentowanie zagadnienia związanego z przedmiotem. </w:t>
            </w:r>
          </w:p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Kompetencje społeczne: Praca w grupach. Udział w dyskusji. </w:t>
            </w:r>
          </w:p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Uzyskanie odpowiedniego procentu sumy punktów oceniających stopień wymaganej wiedzy/umiejętności: 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2,0 &lt; 51%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3,0 – 51-60%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3,5 – 61-70%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4,0 – 71-80%</w:t>
            </w:r>
          </w:p>
          <w:p w:rsidR="00CB1AA6" w:rsidRPr="0035110F" w:rsidRDefault="00CB1AA6" w:rsidP="00CB1AA6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4,5 – 81-90%</w:t>
            </w:r>
          </w:p>
          <w:p w:rsidR="00CB1AA6" w:rsidRPr="0035110F" w:rsidRDefault="00CB1AA6" w:rsidP="00CB1AA6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5,0 &gt; 91%</w:t>
            </w:r>
          </w:p>
        </w:tc>
      </w:tr>
      <w:tr w:rsidR="0035110F" w:rsidRPr="00F02E5D" w:rsidTr="00822BD6">
        <w:tc>
          <w:tcPr>
            <w:tcW w:w="3037" w:type="dxa"/>
            <w:shd w:val="clear" w:color="auto" w:fill="auto"/>
          </w:tcPr>
          <w:p w:rsidR="0035110F" w:rsidRPr="003B32BF" w:rsidRDefault="0035110F" w:rsidP="0035110F">
            <w:r w:rsidRPr="003B32BF">
              <w:t>Elementy i wagi mające wpływ na ocenę końcową</w:t>
            </w:r>
          </w:p>
          <w:p w:rsidR="0035110F" w:rsidRPr="003B32BF" w:rsidRDefault="0035110F" w:rsidP="0035110F"/>
          <w:p w:rsidR="0035110F" w:rsidRPr="003B32BF" w:rsidRDefault="0035110F" w:rsidP="0035110F"/>
        </w:tc>
        <w:tc>
          <w:tcPr>
            <w:tcW w:w="6249" w:type="dxa"/>
            <w:gridSpan w:val="3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  <w:highlight w:val="yellow"/>
              </w:rPr>
            </w:pPr>
            <w:r w:rsidRPr="0035110F">
              <w:rPr>
                <w:sz w:val="20"/>
                <w:szCs w:val="20"/>
              </w:rPr>
              <w:t xml:space="preserve">Na ocenę końcową ma wpływ ocena </w:t>
            </w:r>
            <w:r>
              <w:rPr>
                <w:sz w:val="20"/>
                <w:szCs w:val="20"/>
              </w:rPr>
              <w:t xml:space="preserve">sprawozdania </w:t>
            </w:r>
            <w:r w:rsidRPr="0035110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ćwiczeń</w:t>
            </w:r>
            <w:r w:rsidRPr="0035110F">
              <w:rPr>
                <w:sz w:val="20"/>
                <w:szCs w:val="20"/>
              </w:rPr>
              <w:t xml:space="preserve"> (30%) i ocena z egzaminu (70%). Warunki te są przedstawiane studentom i konsultowane z nimi na pierwszym wykładzie.</w:t>
            </w:r>
          </w:p>
        </w:tc>
      </w:tr>
      <w:tr w:rsidR="0035110F" w:rsidRPr="00F02E5D" w:rsidTr="00822BD6">
        <w:trPr>
          <w:trHeight w:val="218"/>
        </w:trPr>
        <w:tc>
          <w:tcPr>
            <w:tcW w:w="3037" w:type="dxa"/>
            <w:vMerge w:val="restart"/>
            <w:shd w:val="clear" w:color="auto" w:fill="auto"/>
          </w:tcPr>
          <w:p w:rsidR="0035110F" w:rsidRPr="00F02E5D" w:rsidRDefault="0035110F" w:rsidP="0035110F">
            <w:pPr>
              <w:jc w:val="both"/>
            </w:pPr>
            <w:r w:rsidRPr="00F02E5D">
              <w:t>Bilans punktów ECTS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KONTAKTOWE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i/>
                <w:sz w:val="20"/>
                <w:szCs w:val="20"/>
              </w:rPr>
              <w:t>Godziny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i/>
                <w:sz w:val="20"/>
                <w:szCs w:val="20"/>
              </w:rPr>
              <w:t>ECTS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0,36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0,36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konsultacje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16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0,62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0,04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RAZEM kontaktowe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1,40</w:t>
            </w:r>
          </w:p>
        </w:tc>
      </w:tr>
      <w:tr w:rsidR="0035110F" w:rsidRPr="00F02E5D" w:rsidTr="005A24C2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NIEKONTAKTOWE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przygotowanie do ćwiczeń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0,60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przygotowanie do zaliczenia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1,00</w:t>
            </w:r>
          </w:p>
        </w:tc>
      </w:tr>
      <w:tr w:rsidR="0035110F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35110F">
              <w:rPr>
                <w:b/>
                <w:bCs/>
                <w:sz w:val="20"/>
                <w:szCs w:val="20"/>
              </w:rPr>
              <w:t>niekontaktowe</w:t>
            </w:r>
            <w:proofErr w:type="spellEnd"/>
            <w:r w:rsidRPr="0035110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5110F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35110F">
              <w:rPr>
                <w:b/>
                <w:bCs/>
                <w:sz w:val="20"/>
                <w:szCs w:val="20"/>
              </w:rPr>
              <w:t xml:space="preserve"> ECTS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b/>
                <w:bCs/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sz w:val="20"/>
                <w:szCs w:val="20"/>
              </w:rPr>
              <w:t>1,60</w:t>
            </w:r>
          </w:p>
        </w:tc>
      </w:tr>
      <w:tr w:rsidR="0035110F" w:rsidRPr="00F02E5D" w:rsidTr="000C6C5E">
        <w:trPr>
          <w:trHeight w:val="138"/>
        </w:trPr>
        <w:tc>
          <w:tcPr>
            <w:tcW w:w="3037" w:type="dxa"/>
            <w:vMerge w:val="restart"/>
            <w:shd w:val="clear" w:color="auto" w:fill="auto"/>
          </w:tcPr>
          <w:p w:rsidR="0035110F" w:rsidRPr="00F02E5D" w:rsidRDefault="0035110F" w:rsidP="0035110F">
            <w:r w:rsidRPr="00F02E5D">
              <w:t>Nakład pracy związany z zajęciami wymagającymi bezpośredniego udziału nauczyciela akademickiego</w:t>
            </w:r>
          </w:p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0,36</w:t>
            </w:r>
          </w:p>
        </w:tc>
      </w:tr>
      <w:tr w:rsidR="0035110F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/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0,36</w:t>
            </w:r>
          </w:p>
        </w:tc>
      </w:tr>
      <w:tr w:rsidR="0035110F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/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konsultacje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0,16</w:t>
            </w:r>
          </w:p>
        </w:tc>
      </w:tr>
      <w:tr w:rsidR="0035110F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/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0,04</w:t>
            </w:r>
          </w:p>
        </w:tc>
      </w:tr>
      <w:tr w:rsidR="0035110F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35110F" w:rsidRPr="00F02E5D" w:rsidRDefault="0035110F" w:rsidP="0035110F"/>
        </w:tc>
        <w:tc>
          <w:tcPr>
            <w:tcW w:w="4301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RAZEM z bezpośrednim udziałem nauczyciela</w:t>
            </w:r>
          </w:p>
        </w:tc>
        <w:tc>
          <w:tcPr>
            <w:tcW w:w="113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23</w:t>
            </w:r>
          </w:p>
        </w:tc>
        <w:tc>
          <w:tcPr>
            <w:tcW w:w="814" w:type="dxa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b/>
                <w:bCs/>
                <w:sz w:val="20"/>
                <w:szCs w:val="20"/>
              </w:rPr>
              <w:t>0,92</w:t>
            </w:r>
          </w:p>
        </w:tc>
      </w:tr>
      <w:tr w:rsidR="0035110F" w:rsidRPr="00F02E5D" w:rsidTr="00822BD6">
        <w:trPr>
          <w:trHeight w:val="718"/>
        </w:trPr>
        <w:tc>
          <w:tcPr>
            <w:tcW w:w="3037" w:type="dxa"/>
            <w:shd w:val="clear" w:color="auto" w:fill="auto"/>
          </w:tcPr>
          <w:p w:rsidR="0035110F" w:rsidRPr="00F02E5D" w:rsidRDefault="0035110F" w:rsidP="0035110F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Kod efektu modułowego – kod efektu kierunkowego</w:t>
            </w:r>
          </w:p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W1 – BZI_W02</w:t>
            </w:r>
          </w:p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W2 – BZI__W05</w:t>
            </w:r>
          </w:p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U1 – BZI_U04</w:t>
            </w:r>
          </w:p>
          <w:p w:rsidR="0035110F" w:rsidRPr="0035110F" w:rsidRDefault="0035110F" w:rsidP="0035110F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K1 – BZI_K01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BF" w:rsidRDefault="00961DBF" w:rsidP="008D17BD">
      <w:r>
        <w:separator/>
      </w:r>
    </w:p>
  </w:endnote>
  <w:endnote w:type="continuationSeparator" w:id="0">
    <w:p w:rsidR="00961DBF" w:rsidRDefault="00961DB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C009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70FC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70FC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BF" w:rsidRDefault="00961DBF" w:rsidP="008D17BD">
      <w:r>
        <w:separator/>
      </w:r>
    </w:p>
  </w:footnote>
  <w:footnote w:type="continuationSeparator" w:id="0">
    <w:p w:rsidR="00961DBF" w:rsidRDefault="00961DB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B3B1F"/>
    <w:rsid w:val="000C6C5E"/>
    <w:rsid w:val="000F587A"/>
    <w:rsid w:val="00101F00"/>
    <w:rsid w:val="001266E4"/>
    <w:rsid w:val="00206860"/>
    <w:rsid w:val="00207270"/>
    <w:rsid w:val="002A30BE"/>
    <w:rsid w:val="00312718"/>
    <w:rsid w:val="0032739E"/>
    <w:rsid w:val="0035110F"/>
    <w:rsid w:val="003853C3"/>
    <w:rsid w:val="003B32BF"/>
    <w:rsid w:val="003C6325"/>
    <w:rsid w:val="00457679"/>
    <w:rsid w:val="004C2D49"/>
    <w:rsid w:val="00500899"/>
    <w:rsid w:val="0057184E"/>
    <w:rsid w:val="005C0099"/>
    <w:rsid w:val="006742BC"/>
    <w:rsid w:val="006748C4"/>
    <w:rsid w:val="006A31FA"/>
    <w:rsid w:val="006F3573"/>
    <w:rsid w:val="00822BD6"/>
    <w:rsid w:val="00837C29"/>
    <w:rsid w:val="00851819"/>
    <w:rsid w:val="0086015F"/>
    <w:rsid w:val="0089357C"/>
    <w:rsid w:val="008D17BD"/>
    <w:rsid w:val="009116C0"/>
    <w:rsid w:val="0092197E"/>
    <w:rsid w:val="00961DBF"/>
    <w:rsid w:val="00980EBB"/>
    <w:rsid w:val="00991350"/>
    <w:rsid w:val="00992D17"/>
    <w:rsid w:val="009C2572"/>
    <w:rsid w:val="009E49CA"/>
    <w:rsid w:val="00A6673A"/>
    <w:rsid w:val="00AB5705"/>
    <w:rsid w:val="00B400C0"/>
    <w:rsid w:val="00CB1AA6"/>
    <w:rsid w:val="00CD423D"/>
    <w:rsid w:val="00CF147B"/>
    <w:rsid w:val="00D2747A"/>
    <w:rsid w:val="00D61523"/>
    <w:rsid w:val="00D70FCA"/>
    <w:rsid w:val="00DC2364"/>
    <w:rsid w:val="00DD23B8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2023-09-30T21:22:00Z</dcterms:created>
  <dcterms:modified xsi:type="dcterms:W3CDTF">2023-09-30T21:22:00Z</dcterms:modified>
</cp:coreProperties>
</file>