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F02E5D" w:rsidRDefault="008D17BD" w:rsidP="00992D17">
      <w:pPr>
        <w:jc w:val="center"/>
        <w:rPr>
          <w:bCs/>
        </w:rPr>
      </w:pPr>
    </w:p>
    <w:p w:rsidR="00023A99" w:rsidRPr="00F02E5D" w:rsidRDefault="00B400C0" w:rsidP="00023A99">
      <w:pPr>
        <w:rPr>
          <w:b/>
        </w:rPr>
      </w:pPr>
      <w:r w:rsidRPr="00F02E5D">
        <w:rPr>
          <w:b/>
        </w:rPr>
        <w:t>Karta opisu zajęć (s</w:t>
      </w:r>
      <w:r w:rsidR="0092197E" w:rsidRPr="00F02E5D">
        <w:rPr>
          <w:b/>
        </w:rPr>
        <w:t>ylabus)</w:t>
      </w:r>
    </w:p>
    <w:p w:rsidR="00B400C0" w:rsidRPr="00F02E5D" w:rsidRDefault="00B400C0" w:rsidP="00023A9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F02E5D" w:rsidTr="00023A99">
        <w:tc>
          <w:tcPr>
            <w:tcW w:w="3942" w:type="dxa"/>
            <w:shd w:val="clear" w:color="auto" w:fill="auto"/>
          </w:tcPr>
          <w:p w:rsidR="00023A99" w:rsidRPr="00F02E5D" w:rsidRDefault="00F02E5D" w:rsidP="004C0125">
            <w:r w:rsidRPr="00F02E5D">
              <w:t>Nazwa kierunku</w:t>
            </w:r>
            <w:r w:rsidR="000E6A33">
              <w:t xml:space="preserve"> </w:t>
            </w:r>
            <w:r w:rsidR="00023A99" w:rsidRPr="00F02E5D">
              <w:t>studiów</w:t>
            </w:r>
          </w:p>
          <w:p w:rsidR="00B400C0" w:rsidRPr="00F02E5D" w:rsidRDefault="00B400C0" w:rsidP="004C0125"/>
        </w:tc>
        <w:tc>
          <w:tcPr>
            <w:tcW w:w="5344" w:type="dxa"/>
            <w:shd w:val="clear" w:color="auto" w:fill="auto"/>
          </w:tcPr>
          <w:p w:rsidR="00023A99" w:rsidRPr="00F02E5D" w:rsidRDefault="000E6A33" w:rsidP="000E6A33">
            <w:pPr>
              <w:jc w:val="center"/>
            </w:pPr>
            <w:proofErr w:type="spellStart"/>
            <w:r>
              <w:t>Behawiorystyka</w:t>
            </w:r>
            <w:proofErr w:type="spellEnd"/>
            <w:r>
              <w:t xml:space="preserve"> zwierząt</w:t>
            </w:r>
          </w:p>
        </w:tc>
      </w:tr>
      <w:tr w:rsidR="00023A99" w:rsidRPr="00F02E5D" w:rsidTr="00023A99">
        <w:tc>
          <w:tcPr>
            <w:tcW w:w="3942" w:type="dxa"/>
            <w:shd w:val="clear" w:color="auto" w:fill="auto"/>
          </w:tcPr>
          <w:p w:rsidR="00023A99" w:rsidRPr="00F02E5D" w:rsidRDefault="0092197E" w:rsidP="004C0125">
            <w:r w:rsidRPr="00F02E5D">
              <w:t>Nazwa modułu</w:t>
            </w:r>
            <w:r w:rsidR="00023A99" w:rsidRPr="00F02E5D">
              <w:t>, także nazwa w języku angielskim</w:t>
            </w:r>
          </w:p>
        </w:tc>
        <w:tc>
          <w:tcPr>
            <w:tcW w:w="5344" w:type="dxa"/>
            <w:shd w:val="clear" w:color="auto" w:fill="auto"/>
          </w:tcPr>
          <w:p w:rsidR="00023A99" w:rsidRDefault="000E6A33" w:rsidP="000E6A33">
            <w:pPr>
              <w:jc w:val="center"/>
            </w:pPr>
            <w:r>
              <w:t>Profilaktyka</w:t>
            </w:r>
          </w:p>
          <w:p w:rsidR="000E6A33" w:rsidRPr="002B23CE" w:rsidRDefault="000E6A33" w:rsidP="000E6A33">
            <w:pPr>
              <w:jc w:val="center"/>
              <w:rPr>
                <w:i/>
                <w:iCs/>
              </w:rPr>
            </w:pPr>
            <w:proofErr w:type="spellStart"/>
            <w:r w:rsidRPr="002B23CE">
              <w:rPr>
                <w:i/>
                <w:iCs/>
              </w:rPr>
              <w:t>The</w:t>
            </w:r>
            <w:proofErr w:type="spellEnd"/>
            <w:r w:rsidRPr="002B23CE">
              <w:rPr>
                <w:i/>
                <w:iCs/>
              </w:rPr>
              <w:t xml:space="preserve"> </w:t>
            </w:r>
            <w:proofErr w:type="spellStart"/>
            <w:r w:rsidRPr="002B23CE">
              <w:rPr>
                <w:i/>
                <w:iCs/>
              </w:rPr>
              <w:t>prevention</w:t>
            </w:r>
            <w:proofErr w:type="spellEnd"/>
          </w:p>
        </w:tc>
      </w:tr>
      <w:tr w:rsidR="00023A99" w:rsidRPr="00F02E5D" w:rsidTr="00023A99">
        <w:tc>
          <w:tcPr>
            <w:tcW w:w="3942" w:type="dxa"/>
            <w:shd w:val="clear" w:color="auto" w:fill="auto"/>
          </w:tcPr>
          <w:p w:rsidR="00023A99" w:rsidRPr="00F02E5D" w:rsidRDefault="00023A99" w:rsidP="004C0125">
            <w:r w:rsidRPr="00F02E5D">
              <w:t>Język wykładowy</w:t>
            </w:r>
          </w:p>
          <w:p w:rsidR="00B400C0" w:rsidRPr="00F02E5D" w:rsidRDefault="00B400C0" w:rsidP="004C0125"/>
        </w:tc>
        <w:tc>
          <w:tcPr>
            <w:tcW w:w="5344" w:type="dxa"/>
            <w:shd w:val="clear" w:color="auto" w:fill="auto"/>
          </w:tcPr>
          <w:p w:rsidR="00023A99" w:rsidRPr="00F02E5D" w:rsidRDefault="000E6A33" w:rsidP="000E6A33">
            <w:pPr>
              <w:jc w:val="center"/>
            </w:pPr>
            <w:r>
              <w:t>polski</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Rodzaj modułu</w:t>
            </w:r>
          </w:p>
          <w:p w:rsidR="00023A99" w:rsidRPr="00F02E5D" w:rsidRDefault="00023A99" w:rsidP="004C0125"/>
        </w:tc>
        <w:tc>
          <w:tcPr>
            <w:tcW w:w="5344" w:type="dxa"/>
            <w:shd w:val="clear" w:color="auto" w:fill="auto"/>
          </w:tcPr>
          <w:p w:rsidR="00023A99" w:rsidRPr="00F02E5D" w:rsidRDefault="00023A99" w:rsidP="000E6A33">
            <w:pPr>
              <w:jc w:val="center"/>
            </w:pPr>
            <w:r w:rsidRPr="00F02E5D">
              <w:t>obowiązkowy</w:t>
            </w:r>
          </w:p>
        </w:tc>
      </w:tr>
      <w:tr w:rsidR="00023A99" w:rsidRPr="00F02E5D" w:rsidTr="00023A99">
        <w:tc>
          <w:tcPr>
            <w:tcW w:w="3942" w:type="dxa"/>
            <w:shd w:val="clear" w:color="auto" w:fill="auto"/>
          </w:tcPr>
          <w:p w:rsidR="00023A99" w:rsidRPr="00F02E5D" w:rsidRDefault="00023A99" w:rsidP="004C0125">
            <w:r w:rsidRPr="00F02E5D">
              <w:t>Poziom studiów</w:t>
            </w:r>
          </w:p>
        </w:tc>
        <w:tc>
          <w:tcPr>
            <w:tcW w:w="5344" w:type="dxa"/>
            <w:shd w:val="clear" w:color="auto" w:fill="auto"/>
          </w:tcPr>
          <w:p w:rsidR="00023A99" w:rsidRPr="00F02E5D" w:rsidRDefault="00023A99" w:rsidP="000E6A33">
            <w:pPr>
              <w:jc w:val="center"/>
            </w:pPr>
            <w:r w:rsidRPr="00F02E5D">
              <w:t>pierwszego stopnia</w:t>
            </w:r>
          </w:p>
        </w:tc>
      </w:tr>
      <w:tr w:rsidR="00023A99" w:rsidRPr="00F02E5D" w:rsidTr="00023A99">
        <w:tc>
          <w:tcPr>
            <w:tcW w:w="3942" w:type="dxa"/>
            <w:shd w:val="clear" w:color="auto" w:fill="auto"/>
          </w:tcPr>
          <w:p w:rsidR="00023A99" w:rsidRDefault="00023A99" w:rsidP="004C0125">
            <w:r w:rsidRPr="00F02E5D">
              <w:t>Forma studiów</w:t>
            </w:r>
          </w:p>
          <w:p w:rsidR="00F02E5D" w:rsidRPr="00F02E5D" w:rsidRDefault="00F02E5D" w:rsidP="004C0125"/>
        </w:tc>
        <w:tc>
          <w:tcPr>
            <w:tcW w:w="5344" w:type="dxa"/>
            <w:shd w:val="clear" w:color="auto" w:fill="auto"/>
          </w:tcPr>
          <w:p w:rsidR="00023A99" w:rsidRPr="00F02E5D" w:rsidRDefault="00023A99" w:rsidP="000E6A33">
            <w:pPr>
              <w:jc w:val="center"/>
            </w:pPr>
            <w:r w:rsidRPr="00F02E5D">
              <w:t>niestacjonarne</w:t>
            </w:r>
          </w:p>
        </w:tc>
      </w:tr>
      <w:tr w:rsidR="00023A99" w:rsidRPr="00F02E5D" w:rsidTr="00023A99">
        <w:tc>
          <w:tcPr>
            <w:tcW w:w="3942" w:type="dxa"/>
            <w:shd w:val="clear" w:color="auto" w:fill="auto"/>
          </w:tcPr>
          <w:p w:rsidR="00023A99" w:rsidRPr="00F02E5D" w:rsidRDefault="00023A99" w:rsidP="004C0125">
            <w:r w:rsidRPr="00F02E5D">
              <w:t>Rok studiów dla kierunku</w:t>
            </w:r>
          </w:p>
        </w:tc>
        <w:tc>
          <w:tcPr>
            <w:tcW w:w="5344" w:type="dxa"/>
            <w:shd w:val="clear" w:color="auto" w:fill="auto"/>
          </w:tcPr>
          <w:p w:rsidR="00023A99" w:rsidRPr="00F02E5D" w:rsidRDefault="00023A99" w:rsidP="000E6A33">
            <w:pPr>
              <w:jc w:val="center"/>
            </w:pPr>
            <w:r w:rsidRPr="00F02E5D">
              <w:t>II</w:t>
            </w:r>
          </w:p>
        </w:tc>
      </w:tr>
      <w:tr w:rsidR="00023A99" w:rsidRPr="00F02E5D" w:rsidTr="00023A99">
        <w:tc>
          <w:tcPr>
            <w:tcW w:w="3942" w:type="dxa"/>
            <w:shd w:val="clear" w:color="auto" w:fill="auto"/>
          </w:tcPr>
          <w:p w:rsidR="00023A99" w:rsidRPr="00F02E5D" w:rsidRDefault="00023A99" w:rsidP="004C0125">
            <w:r w:rsidRPr="00F02E5D">
              <w:t>Semestr dla kierunku</w:t>
            </w:r>
          </w:p>
        </w:tc>
        <w:tc>
          <w:tcPr>
            <w:tcW w:w="5344" w:type="dxa"/>
            <w:shd w:val="clear" w:color="auto" w:fill="auto"/>
          </w:tcPr>
          <w:p w:rsidR="00023A99" w:rsidRPr="00F02E5D" w:rsidRDefault="000E6A33" w:rsidP="000E6A33">
            <w:pPr>
              <w:jc w:val="center"/>
            </w:pPr>
            <w:r>
              <w:t>4</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Liczba punktów ECTS z podziałem na kontaktowe/</w:t>
            </w:r>
            <w:proofErr w:type="spellStart"/>
            <w:r w:rsidRPr="00F02E5D">
              <w:t>niekontaktowe</w:t>
            </w:r>
            <w:proofErr w:type="spellEnd"/>
          </w:p>
        </w:tc>
        <w:tc>
          <w:tcPr>
            <w:tcW w:w="5344" w:type="dxa"/>
            <w:shd w:val="clear" w:color="auto" w:fill="auto"/>
          </w:tcPr>
          <w:p w:rsidR="00023A99" w:rsidRPr="00F02E5D" w:rsidRDefault="00775CD3" w:rsidP="000E6A33">
            <w:pPr>
              <w:jc w:val="center"/>
            </w:pPr>
            <w:r>
              <w:t xml:space="preserve">3 </w:t>
            </w:r>
            <w:r w:rsidR="00023A99" w:rsidRPr="00F02E5D">
              <w:t>(</w:t>
            </w:r>
            <w:r w:rsidR="00645090">
              <w:rPr>
                <w:color w:val="000000" w:themeColor="text1"/>
              </w:rPr>
              <w:t>0,88</w:t>
            </w:r>
            <w:r w:rsidR="00023A99" w:rsidRPr="00645090">
              <w:rPr>
                <w:color w:val="000000" w:themeColor="text1"/>
              </w:rPr>
              <w:t>/2</w:t>
            </w:r>
            <w:r w:rsidR="00645090">
              <w:rPr>
                <w:color w:val="000000" w:themeColor="text1"/>
              </w:rPr>
              <w:t>,12</w:t>
            </w:r>
            <w:r w:rsidR="00023A99" w:rsidRPr="00F02E5D">
              <w:t>)</w:t>
            </w:r>
          </w:p>
        </w:tc>
      </w:tr>
      <w:tr w:rsidR="00023A99" w:rsidRPr="00F02E5D" w:rsidTr="00023A99">
        <w:tc>
          <w:tcPr>
            <w:tcW w:w="3942" w:type="dxa"/>
            <w:shd w:val="clear" w:color="auto" w:fill="auto"/>
          </w:tcPr>
          <w:p w:rsidR="00023A99" w:rsidRPr="00F02E5D" w:rsidRDefault="00023A99" w:rsidP="00F02E5D">
            <w:pPr>
              <w:autoSpaceDE w:val="0"/>
              <w:autoSpaceDN w:val="0"/>
              <w:adjustRightInd w:val="0"/>
            </w:pPr>
            <w:r w:rsidRPr="00F02E5D">
              <w:t>Tytuł</w:t>
            </w:r>
            <w:r w:rsidR="00F02E5D">
              <w:t xml:space="preserve"> naukowy</w:t>
            </w:r>
            <w:r w:rsidRPr="00F02E5D">
              <w:t>/stopień</w:t>
            </w:r>
            <w:r w:rsidR="00F02E5D">
              <w:t xml:space="preserve"> naukowy</w:t>
            </w:r>
            <w:r w:rsidRPr="00F02E5D">
              <w:t>, imię i nazwisko osoby</w:t>
            </w:r>
            <w:r w:rsidR="00775CD3">
              <w:t xml:space="preserve"> </w:t>
            </w:r>
            <w:r w:rsidRPr="00F02E5D">
              <w:t>odpowiedzialnej za moduł</w:t>
            </w:r>
          </w:p>
        </w:tc>
        <w:tc>
          <w:tcPr>
            <w:tcW w:w="5344" w:type="dxa"/>
            <w:shd w:val="clear" w:color="auto" w:fill="auto"/>
          </w:tcPr>
          <w:p w:rsidR="00023A99" w:rsidRPr="00F02E5D" w:rsidRDefault="00775CD3" w:rsidP="000E6A33">
            <w:pPr>
              <w:jc w:val="center"/>
            </w:pPr>
            <w:r>
              <w:t>Dr Mateusz Ossowski</w:t>
            </w:r>
          </w:p>
        </w:tc>
      </w:tr>
      <w:tr w:rsidR="00023A99" w:rsidRPr="00F02E5D" w:rsidTr="00023A99">
        <w:tc>
          <w:tcPr>
            <w:tcW w:w="3942" w:type="dxa"/>
            <w:shd w:val="clear" w:color="auto" w:fill="auto"/>
          </w:tcPr>
          <w:p w:rsidR="00023A99" w:rsidRPr="00F02E5D" w:rsidRDefault="00023A99" w:rsidP="004C0125">
            <w:r w:rsidRPr="00F02E5D">
              <w:t>Jednostka oferująca moduł</w:t>
            </w:r>
          </w:p>
          <w:p w:rsidR="00023A99" w:rsidRPr="00F02E5D" w:rsidRDefault="00023A99" w:rsidP="004C0125"/>
        </w:tc>
        <w:tc>
          <w:tcPr>
            <w:tcW w:w="5344" w:type="dxa"/>
            <w:shd w:val="clear" w:color="auto" w:fill="auto"/>
          </w:tcPr>
          <w:p w:rsidR="00023A99" w:rsidRPr="00F02E5D" w:rsidRDefault="00775CD3" w:rsidP="000E6A33">
            <w:pPr>
              <w:jc w:val="center"/>
            </w:pPr>
            <w:r w:rsidRPr="00775CD3">
              <w:t xml:space="preserve">Katedra Higieny Zwierząt i </w:t>
            </w:r>
            <w:r w:rsidR="00D22BB9">
              <w:t xml:space="preserve">Zagrożeń </w:t>
            </w:r>
            <w:r w:rsidRPr="00775CD3">
              <w:t>Środowiska</w:t>
            </w:r>
          </w:p>
        </w:tc>
      </w:tr>
      <w:tr w:rsidR="00023A99" w:rsidRPr="00F02E5D" w:rsidTr="00023A99">
        <w:tc>
          <w:tcPr>
            <w:tcW w:w="3942" w:type="dxa"/>
            <w:shd w:val="clear" w:color="auto" w:fill="auto"/>
          </w:tcPr>
          <w:p w:rsidR="00023A99" w:rsidRPr="00F02E5D" w:rsidRDefault="00023A99" w:rsidP="004C0125">
            <w:r w:rsidRPr="00F02E5D">
              <w:t>Cel modułu</w:t>
            </w:r>
          </w:p>
          <w:p w:rsidR="00023A99" w:rsidRPr="00F02E5D" w:rsidRDefault="00023A99" w:rsidP="004C0125"/>
        </w:tc>
        <w:tc>
          <w:tcPr>
            <w:tcW w:w="5344" w:type="dxa"/>
            <w:shd w:val="clear" w:color="auto" w:fill="auto"/>
          </w:tcPr>
          <w:p w:rsidR="00023A99" w:rsidRPr="00F02E5D" w:rsidRDefault="00775CD3" w:rsidP="00775CD3">
            <w:pPr>
              <w:autoSpaceDE w:val="0"/>
              <w:autoSpaceDN w:val="0"/>
              <w:adjustRightInd w:val="0"/>
              <w:jc w:val="both"/>
            </w:pPr>
            <w:r w:rsidRPr="00775CD3">
              <w:t>Celem modułu jest przekazanie informacji z zakresu profilaktyki wybranych, najczęściej występujących schorzeń zwierząt towarzyszących, gospodarskich i wybranych gatunków zwierząt dziko żyjących.</w:t>
            </w:r>
          </w:p>
        </w:tc>
      </w:tr>
      <w:tr w:rsidR="00023A99" w:rsidRPr="00F02E5D" w:rsidTr="00023A99">
        <w:trPr>
          <w:trHeight w:val="236"/>
        </w:trPr>
        <w:tc>
          <w:tcPr>
            <w:tcW w:w="3942" w:type="dxa"/>
            <w:vMerge w:val="restart"/>
            <w:shd w:val="clear" w:color="auto" w:fill="auto"/>
          </w:tcPr>
          <w:p w:rsidR="00023A99" w:rsidRPr="00F02E5D" w:rsidRDefault="00023A99" w:rsidP="00206860">
            <w:pPr>
              <w:jc w:val="both"/>
            </w:pPr>
            <w:r w:rsidRPr="00F02E5D">
              <w:t xml:space="preserve">Efekty </w:t>
            </w:r>
            <w:r w:rsidR="00D2747A" w:rsidRPr="00F02E5D">
              <w:t>uczenia się</w:t>
            </w:r>
            <w:r w:rsidR="00206860" w:rsidRPr="00F02E5D">
              <w:t xml:space="preserve"> dla modułu </w:t>
            </w:r>
            <w:r w:rsidRPr="00F02E5D">
              <w:t>to opis zasobu wiedzy, umiejętności i kompetencji społecznych, które student osi</w:t>
            </w:r>
            <w:r w:rsidR="000F587A" w:rsidRPr="00F02E5D">
              <w:t>ągnie</w:t>
            </w:r>
            <w:r w:rsidR="00206860" w:rsidRPr="00F02E5D">
              <w:t xml:space="preserve"> po zrealizowaniu zajęć</w:t>
            </w:r>
            <w:r w:rsidR="000F587A" w:rsidRPr="00F02E5D">
              <w:t>.</w:t>
            </w:r>
          </w:p>
        </w:tc>
        <w:tc>
          <w:tcPr>
            <w:tcW w:w="5344" w:type="dxa"/>
            <w:shd w:val="clear" w:color="auto" w:fill="auto"/>
          </w:tcPr>
          <w:p w:rsidR="00023A99" w:rsidRPr="003C1969" w:rsidRDefault="00023A99" w:rsidP="003C1969">
            <w:pPr>
              <w:jc w:val="both"/>
              <w:rPr>
                <w:color w:val="000000" w:themeColor="text1"/>
              </w:rPr>
            </w:pPr>
            <w:r w:rsidRPr="003C1969">
              <w:rPr>
                <w:color w:val="000000" w:themeColor="text1"/>
              </w:rPr>
              <w:t xml:space="preserve">Wiedza: </w:t>
            </w:r>
          </w:p>
        </w:tc>
      </w:tr>
      <w:tr w:rsidR="003C1969" w:rsidRPr="00F02E5D" w:rsidTr="00023A99">
        <w:trPr>
          <w:trHeight w:val="233"/>
        </w:trPr>
        <w:tc>
          <w:tcPr>
            <w:tcW w:w="3942" w:type="dxa"/>
            <w:vMerge/>
            <w:shd w:val="clear" w:color="auto" w:fill="auto"/>
          </w:tcPr>
          <w:p w:rsidR="003C1969" w:rsidRPr="00F02E5D" w:rsidRDefault="003C1969" w:rsidP="003C1969">
            <w:pPr>
              <w:rPr>
                <w:highlight w:val="yellow"/>
              </w:rPr>
            </w:pPr>
          </w:p>
        </w:tc>
        <w:tc>
          <w:tcPr>
            <w:tcW w:w="5344" w:type="dxa"/>
            <w:shd w:val="clear" w:color="auto" w:fill="auto"/>
          </w:tcPr>
          <w:p w:rsidR="003C1969" w:rsidRPr="00D22BB9" w:rsidRDefault="003C1969" w:rsidP="003C1969">
            <w:pPr>
              <w:jc w:val="both"/>
              <w:rPr>
                <w:color w:val="FF0000"/>
              </w:rPr>
            </w:pPr>
            <w:r>
              <w:t>W1</w:t>
            </w:r>
            <w:r w:rsidRPr="00177A16">
              <w:t>. Rozpoznaje stany zaburzenia równowagi zdrowotnej zwierząt</w:t>
            </w:r>
          </w:p>
        </w:tc>
      </w:tr>
      <w:tr w:rsidR="003C1969" w:rsidRPr="00F02E5D" w:rsidTr="00023A99">
        <w:trPr>
          <w:trHeight w:val="233"/>
        </w:trPr>
        <w:tc>
          <w:tcPr>
            <w:tcW w:w="3942" w:type="dxa"/>
            <w:vMerge/>
            <w:shd w:val="clear" w:color="auto" w:fill="auto"/>
          </w:tcPr>
          <w:p w:rsidR="003C1969" w:rsidRPr="00F02E5D" w:rsidRDefault="003C1969" w:rsidP="003C1969">
            <w:pPr>
              <w:rPr>
                <w:highlight w:val="yellow"/>
              </w:rPr>
            </w:pPr>
          </w:p>
        </w:tc>
        <w:tc>
          <w:tcPr>
            <w:tcW w:w="5344" w:type="dxa"/>
            <w:shd w:val="clear" w:color="auto" w:fill="auto"/>
          </w:tcPr>
          <w:p w:rsidR="003C1969" w:rsidRPr="00D22BB9" w:rsidRDefault="003C1969" w:rsidP="003C1969">
            <w:pPr>
              <w:jc w:val="both"/>
              <w:rPr>
                <w:color w:val="FF0000"/>
              </w:rPr>
            </w:pPr>
            <w:r>
              <w:t>W</w:t>
            </w:r>
            <w:r w:rsidRPr="00177A16">
              <w:t>2. Definiuje wpływ czynników i bodźców środowiska na zdrowie i zachowania zwierząt w ich środowisku naturalnym i poza nim</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3C1969" w:rsidRDefault="00023A99" w:rsidP="003C1969">
            <w:pPr>
              <w:jc w:val="both"/>
              <w:rPr>
                <w:color w:val="000000" w:themeColor="text1"/>
              </w:rPr>
            </w:pPr>
            <w:r w:rsidRPr="003C1969">
              <w:rPr>
                <w:color w:val="000000" w:themeColor="text1"/>
              </w:rPr>
              <w:t>Umiejętności:</w:t>
            </w:r>
          </w:p>
        </w:tc>
      </w:tr>
      <w:tr w:rsidR="003C1969" w:rsidRPr="00F02E5D" w:rsidTr="00023A99">
        <w:trPr>
          <w:trHeight w:val="233"/>
        </w:trPr>
        <w:tc>
          <w:tcPr>
            <w:tcW w:w="3942" w:type="dxa"/>
            <w:vMerge/>
            <w:shd w:val="clear" w:color="auto" w:fill="auto"/>
          </w:tcPr>
          <w:p w:rsidR="003C1969" w:rsidRPr="00F02E5D" w:rsidRDefault="003C1969" w:rsidP="003C1969">
            <w:pPr>
              <w:rPr>
                <w:highlight w:val="yellow"/>
              </w:rPr>
            </w:pPr>
          </w:p>
        </w:tc>
        <w:tc>
          <w:tcPr>
            <w:tcW w:w="5344" w:type="dxa"/>
            <w:shd w:val="clear" w:color="auto" w:fill="auto"/>
          </w:tcPr>
          <w:p w:rsidR="003C1969" w:rsidRPr="00D22BB9" w:rsidRDefault="003C1969" w:rsidP="003C1969">
            <w:pPr>
              <w:jc w:val="both"/>
              <w:rPr>
                <w:color w:val="FF0000"/>
              </w:rPr>
            </w:pPr>
            <w:r>
              <w:t>U</w:t>
            </w:r>
            <w:r w:rsidRPr="004135E7">
              <w:t>1. Analizuje i dokonuje identyfikacji zagrożeń zdrowia zwierząt w określonych warunkach hodowlanych, podając metody działań profilaktycznych prowadzących do optymalizacji warunków utrzymania</w:t>
            </w:r>
          </w:p>
        </w:tc>
      </w:tr>
      <w:tr w:rsidR="003C1969" w:rsidRPr="00F02E5D" w:rsidTr="00023A99">
        <w:trPr>
          <w:trHeight w:val="233"/>
        </w:trPr>
        <w:tc>
          <w:tcPr>
            <w:tcW w:w="3942" w:type="dxa"/>
            <w:vMerge/>
            <w:shd w:val="clear" w:color="auto" w:fill="auto"/>
          </w:tcPr>
          <w:p w:rsidR="003C1969" w:rsidRPr="00F02E5D" w:rsidRDefault="003C1969" w:rsidP="003C1969">
            <w:pPr>
              <w:rPr>
                <w:highlight w:val="yellow"/>
              </w:rPr>
            </w:pPr>
          </w:p>
        </w:tc>
        <w:tc>
          <w:tcPr>
            <w:tcW w:w="5344" w:type="dxa"/>
            <w:shd w:val="clear" w:color="auto" w:fill="auto"/>
          </w:tcPr>
          <w:p w:rsidR="003C1969" w:rsidRPr="00D22BB9" w:rsidRDefault="003C1969" w:rsidP="003C1969">
            <w:pPr>
              <w:jc w:val="both"/>
              <w:rPr>
                <w:color w:val="FF0000"/>
              </w:rPr>
            </w:pPr>
            <w:r>
              <w:t>U</w:t>
            </w:r>
            <w:r w:rsidRPr="004135E7">
              <w:t>2. Posiada umiejętność proponowania najbardziej korzystnych rozwiązań technicznych dla zapewnienia bezpieczeństwa zwierząt w ich środowisku hodowlanym</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3C1969" w:rsidRDefault="00023A99" w:rsidP="003C1969">
            <w:pPr>
              <w:jc w:val="both"/>
              <w:rPr>
                <w:color w:val="000000" w:themeColor="text1"/>
              </w:rPr>
            </w:pPr>
            <w:r w:rsidRPr="003C1969">
              <w:rPr>
                <w:color w:val="000000" w:themeColor="text1"/>
              </w:rPr>
              <w:t>Kompetencje społeczne:</w:t>
            </w:r>
          </w:p>
        </w:tc>
      </w:tr>
      <w:tr w:rsidR="003C1969" w:rsidRPr="00F02E5D" w:rsidTr="00023A99">
        <w:trPr>
          <w:trHeight w:val="233"/>
        </w:trPr>
        <w:tc>
          <w:tcPr>
            <w:tcW w:w="3942" w:type="dxa"/>
            <w:vMerge/>
            <w:shd w:val="clear" w:color="auto" w:fill="auto"/>
          </w:tcPr>
          <w:p w:rsidR="003C1969" w:rsidRPr="00F02E5D" w:rsidRDefault="003C1969" w:rsidP="003C1969">
            <w:pPr>
              <w:rPr>
                <w:highlight w:val="yellow"/>
              </w:rPr>
            </w:pPr>
          </w:p>
        </w:tc>
        <w:tc>
          <w:tcPr>
            <w:tcW w:w="5344" w:type="dxa"/>
            <w:shd w:val="clear" w:color="auto" w:fill="auto"/>
          </w:tcPr>
          <w:p w:rsidR="003C1969" w:rsidRPr="00D22BB9" w:rsidRDefault="003C1969" w:rsidP="003C1969">
            <w:pPr>
              <w:jc w:val="both"/>
              <w:rPr>
                <w:color w:val="FF0000"/>
              </w:rPr>
            </w:pPr>
            <w:r w:rsidRPr="00CC4166">
              <w:t>K1. Przyjmując aktywną postawę w stosunku do czynności mających na celu ochronę zdrowia zwierząt i ludzi jasno określa działania priorytetowe w tej dziedzinie</w:t>
            </w:r>
          </w:p>
        </w:tc>
      </w:tr>
      <w:tr w:rsidR="003C1969" w:rsidRPr="00F02E5D" w:rsidTr="00023A99">
        <w:trPr>
          <w:trHeight w:val="233"/>
        </w:trPr>
        <w:tc>
          <w:tcPr>
            <w:tcW w:w="3942" w:type="dxa"/>
            <w:vMerge/>
            <w:shd w:val="clear" w:color="auto" w:fill="auto"/>
          </w:tcPr>
          <w:p w:rsidR="003C1969" w:rsidRPr="00F02E5D" w:rsidRDefault="003C1969" w:rsidP="003C1969">
            <w:pPr>
              <w:rPr>
                <w:highlight w:val="yellow"/>
              </w:rPr>
            </w:pPr>
          </w:p>
        </w:tc>
        <w:tc>
          <w:tcPr>
            <w:tcW w:w="5344" w:type="dxa"/>
            <w:shd w:val="clear" w:color="auto" w:fill="auto"/>
          </w:tcPr>
          <w:p w:rsidR="003C1969" w:rsidRPr="00D22BB9" w:rsidRDefault="003C1969" w:rsidP="003C1969">
            <w:pPr>
              <w:jc w:val="both"/>
              <w:rPr>
                <w:color w:val="FF0000"/>
              </w:rPr>
            </w:pPr>
            <w:r w:rsidRPr="00CC4166">
              <w:t xml:space="preserve">K2. Posiada podstawy do organizowania procesu </w:t>
            </w:r>
            <w:r w:rsidRPr="00CC4166">
              <w:lastRenderedPageBreak/>
              <w:t>hodowlanego zgodnie z zasadami etyki i ekonomii produkcji przy uwzględnieniu potrzeb behawioralnych i skutków zdrowotnych zwierząt.</w:t>
            </w:r>
          </w:p>
        </w:tc>
      </w:tr>
      <w:tr w:rsidR="00023A99" w:rsidRPr="00F02E5D" w:rsidTr="00023A99">
        <w:tc>
          <w:tcPr>
            <w:tcW w:w="3942" w:type="dxa"/>
            <w:shd w:val="clear" w:color="auto" w:fill="auto"/>
          </w:tcPr>
          <w:p w:rsidR="00023A99" w:rsidRPr="00F02E5D" w:rsidRDefault="00023A99" w:rsidP="004C0125">
            <w:r w:rsidRPr="00F02E5D">
              <w:lastRenderedPageBreak/>
              <w:t xml:space="preserve">Wymagania wstępne i dodatkowe </w:t>
            </w:r>
          </w:p>
        </w:tc>
        <w:tc>
          <w:tcPr>
            <w:tcW w:w="5344" w:type="dxa"/>
            <w:shd w:val="clear" w:color="auto" w:fill="auto"/>
          </w:tcPr>
          <w:p w:rsidR="00023A99" w:rsidRPr="003C1969" w:rsidRDefault="003C1969" w:rsidP="004C0125">
            <w:pPr>
              <w:jc w:val="both"/>
              <w:rPr>
                <w:color w:val="000000" w:themeColor="text1"/>
              </w:rPr>
            </w:pPr>
            <w:r>
              <w:rPr>
                <w:color w:val="000000" w:themeColor="text1"/>
              </w:rPr>
              <w:t>Biologia, f</w:t>
            </w:r>
            <w:r w:rsidRPr="003C1969">
              <w:rPr>
                <w:color w:val="000000" w:themeColor="text1"/>
              </w:rPr>
              <w:t>izjologia zwierząt</w:t>
            </w:r>
          </w:p>
        </w:tc>
      </w:tr>
      <w:tr w:rsidR="00023A99" w:rsidRPr="00F02E5D" w:rsidTr="00023A99">
        <w:tc>
          <w:tcPr>
            <w:tcW w:w="3942" w:type="dxa"/>
            <w:shd w:val="clear" w:color="auto" w:fill="auto"/>
          </w:tcPr>
          <w:p w:rsidR="00023A99" w:rsidRPr="00F02E5D" w:rsidRDefault="00023A99" w:rsidP="00D2747A">
            <w:r w:rsidRPr="00F02E5D">
              <w:t xml:space="preserve">Treści programowe modułu </w:t>
            </w:r>
          </w:p>
          <w:p w:rsidR="00B400C0" w:rsidRPr="00F02E5D" w:rsidRDefault="00B400C0" w:rsidP="00D2747A"/>
        </w:tc>
        <w:tc>
          <w:tcPr>
            <w:tcW w:w="5344" w:type="dxa"/>
            <w:shd w:val="clear" w:color="auto" w:fill="auto"/>
          </w:tcPr>
          <w:p w:rsidR="0057184E" w:rsidRPr="003C1969" w:rsidRDefault="003C1969" w:rsidP="003C1969">
            <w:pPr>
              <w:jc w:val="both"/>
              <w:rPr>
                <w:color w:val="000000" w:themeColor="text1"/>
              </w:rPr>
            </w:pPr>
            <w:r w:rsidRPr="003C1969">
              <w:rPr>
                <w:color w:val="000000" w:themeColor="text1"/>
              </w:rPr>
              <w:t>Przedmiot „Profilaktyka” ma za zadanie przybliżenie metod zapobiegania wybranym schorzeniom zwierząt towarzyszących, gospodarskich i dziko żyjących. Podstawowym celem przedmiotu jest ukazanie przyczyn, patomechanizmów oraz metod zapobiegania najczęściej występującym schorzeniom metabolicznym, zakaźnym i urazom zwierząt. W trakcie realizowania założeń programowych, studenci będą mieli okazję zaobserwować, rzeczywisty wpływ człowieka na zdrowie zwierząt oraz ocenić skuteczność wybranych metod profilaktycznych. Zaprezentowane zostaną również zasady doboru programów zwalczania m.in. schorzeń zakaźnych i ich wpływ na realne zagrożenia zdrowia publicznego.</w:t>
            </w:r>
          </w:p>
        </w:tc>
      </w:tr>
      <w:tr w:rsidR="00023A99" w:rsidRPr="00F02E5D" w:rsidTr="00023A99">
        <w:tc>
          <w:tcPr>
            <w:tcW w:w="3942" w:type="dxa"/>
            <w:shd w:val="clear" w:color="auto" w:fill="auto"/>
          </w:tcPr>
          <w:p w:rsidR="00023A99" w:rsidRPr="00F02E5D" w:rsidRDefault="00023A99" w:rsidP="004C0125">
            <w:r w:rsidRPr="00F02E5D">
              <w:t>Wykaz literatury podstawowej i uzupełniającej</w:t>
            </w:r>
          </w:p>
        </w:tc>
        <w:tc>
          <w:tcPr>
            <w:tcW w:w="5344" w:type="dxa"/>
            <w:shd w:val="clear" w:color="auto" w:fill="auto"/>
          </w:tcPr>
          <w:p w:rsidR="00121499" w:rsidRPr="00121499" w:rsidRDefault="00121499" w:rsidP="00121499">
            <w:pPr>
              <w:jc w:val="both"/>
              <w:rPr>
                <w:color w:val="000000" w:themeColor="text1"/>
              </w:rPr>
            </w:pPr>
            <w:r>
              <w:rPr>
                <w:color w:val="000000" w:themeColor="text1"/>
              </w:rPr>
              <w:t>Literatura podstawowa:</w:t>
            </w:r>
          </w:p>
          <w:p w:rsidR="00645090" w:rsidRDefault="00645090" w:rsidP="003C1969">
            <w:pPr>
              <w:pStyle w:val="Akapitzlist"/>
              <w:numPr>
                <w:ilvl w:val="0"/>
                <w:numId w:val="4"/>
              </w:numPr>
              <w:jc w:val="both"/>
              <w:rPr>
                <w:color w:val="000000" w:themeColor="text1"/>
              </w:rPr>
            </w:pPr>
            <w:r w:rsidRPr="00645090">
              <w:rPr>
                <w:color w:val="000000" w:themeColor="text1"/>
              </w:rPr>
              <w:t xml:space="preserve">Gliński Z., Kostro K.: Choroby zakaźne zwierząt z elementami epidemiologii i zoonoz, </w:t>
            </w:r>
            <w:proofErr w:type="spellStart"/>
            <w:r w:rsidRPr="00645090">
              <w:rPr>
                <w:color w:val="000000" w:themeColor="text1"/>
              </w:rPr>
              <w:t>P.W.RiL</w:t>
            </w:r>
            <w:proofErr w:type="spellEnd"/>
            <w:r w:rsidRPr="00645090">
              <w:rPr>
                <w:color w:val="000000" w:themeColor="text1"/>
              </w:rPr>
              <w:t>. Warszawa. 2011.</w:t>
            </w:r>
          </w:p>
          <w:p w:rsidR="003C1969" w:rsidRDefault="003C1969" w:rsidP="003C1969">
            <w:pPr>
              <w:pStyle w:val="Akapitzlist"/>
              <w:numPr>
                <w:ilvl w:val="0"/>
                <w:numId w:val="4"/>
              </w:numPr>
              <w:jc w:val="both"/>
              <w:rPr>
                <w:color w:val="000000" w:themeColor="text1"/>
              </w:rPr>
            </w:pPr>
            <w:r w:rsidRPr="003C1969">
              <w:rPr>
                <w:color w:val="000000" w:themeColor="text1"/>
              </w:rPr>
              <w:t>Ziętek</w:t>
            </w:r>
            <w:r>
              <w:rPr>
                <w:color w:val="000000" w:themeColor="text1"/>
              </w:rPr>
              <w:t xml:space="preserve"> J.</w:t>
            </w:r>
            <w:r w:rsidRPr="003C1969">
              <w:rPr>
                <w:color w:val="000000" w:themeColor="text1"/>
              </w:rPr>
              <w:t>, Chrostek</w:t>
            </w:r>
            <w:r>
              <w:rPr>
                <w:color w:val="000000" w:themeColor="text1"/>
              </w:rPr>
              <w:t xml:space="preserve"> A.</w:t>
            </w:r>
            <w:r w:rsidRPr="003C1969">
              <w:rPr>
                <w:color w:val="000000" w:themeColor="text1"/>
              </w:rPr>
              <w:t xml:space="preserve">, </w:t>
            </w:r>
            <w:proofErr w:type="spellStart"/>
            <w:r w:rsidRPr="003C1969">
              <w:rPr>
                <w:color w:val="000000" w:themeColor="text1"/>
              </w:rPr>
              <w:t>Adaszek</w:t>
            </w:r>
            <w:proofErr w:type="spellEnd"/>
            <w:r>
              <w:rPr>
                <w:color w:val="000000" w:themeColor="text1"/>
              </w:rPr>
              <w:t xml:space="preserve"> Ł.</w:t>
            </w:r>
            <w:r w:rsidRPr="003C1969">
              <w:rPr>
                <w:color w:val="000000" w:themeColor="text1"/>
              </w:rPr>
              <w:t>, Winiarczyk</w:t>
            </w:r>
            <w:r>
              <w:rPr>
                <w:color w:val="000000" w:themeColor="text1"/>
              </w:rPr>
              <w:t xml:space="preserve"> S</w:t>
            </w:r>
            <w:r w:rsidRPr="003C1969">
              <w:rPr>
                <w:color w:val="000000" w:themeColor="text1"/>
              </w:rPr>
              <w:t>.</w:t>
            </w:r>
            <w:r>
              <w:rPr>
                <w:color w:val="000000" w:themeColor="text1"/>
              </w:rPr>
              <w:t xml:space="preserve">: </w:t>
            </w:r>
            <w:r w:rsidRPr="003C1969">
              <w:rPr>
                <w:color w:val="000000" w:themeColor="text1"/>
              </w:rPr>
              <w:t>Profilaktyka chorób zwierząt towarzyszących</w:t>
            </w:r>
            <w:r w:rsidR="00645090">
              <w:rPr>
                <w:color w:val="000000" w:themeColor="text1"/>
              </w:rPr>
              <w:t xml:space="preserve">, </w:t>
            </w:r>
            <w:proofErr w:type="spellStart"/>
            <w:r w:rsidR="00645090" w:rsidRPr="00645090">
              <w:rPr>
                <w:color w:val="000000" w:themeColor="text1"/>
              </w:rPr>
              <w:t>Elamed</w:t>
            </w:r>
            <w:proofErr w:type="spellEnd"/>
            <w:r w:rsidR="00645090" w:rsidRPr="00645090">
              <w:rPr>
                <w:color w:val="000000" w:themeColor="text1"/>
              </w:rPr>
              <w:t xml:space="preserve"> Media Group, 2016. 87, [1]</w:t>
            </w:r>
            <w:r w:rsidR="00645090">
              <w:rPr>
                <w:color w:val="000000" w:themeColor="text1"/>
              </w:rPr>
              <w:t>.</w:t>
            </w:r>
          </w:p>
          <w:p w:rsidR="00645090" w:rsidRPr="003C1969" w:rsidRDefault="00645090" w:rsidP="003C1969">
            <w:pPr>
              <w:pStyle w:val="Akapitzlist"/>
              <w:numPr>
                <w:ilvl w:val="0"/>
                <w:numId w:val="4"/>
              </w:numPr>
              <w:jc w:val="both"/>
              <w:rPr>
                <w:color w:val="000000" w:themeColor="text1"/>
              </w:rPr>
            </w:pPr>
            <w:proofErr w:type="spellStart"/>
            <w:r w:rsidRPr="00645090">
              <w:rPr>
                <w:color w:val="000000" w:themeColor="text1"/>
              </w:rPr>
              <w:t>Plunket</w:t>
            </w:r>
            <w:proofErr w:type="spellEnd"/>
            <w:r w:rsidRPr="00645090">
              <w:rPr>
                <w:color w:val="000000" w:themeColor="text1"/>
              </w:rPr>
              <w:t xml:space="preserve"> S.J. Stany nagłe małych zwierząt. wyd. I polskie, red. Chłopecka M., Dziekan N., Garncarz J., </w:t>
            </w:r>
            <w:proofErr w:type="spellStart"/>
            <w:r w:rsidRPr="00645090">
              <w:rPr>
                <w:color w:val="000000" w:themeColor="text1"/>
              </w:rPr>
              <w:t>Maluta</w:t>
            </w:r>
            <w:proofErr w:type="spellEnd"/>
            <w:r w:rsidRPr="00645090">
              <w:rPr>
                <w:color w:val="000000" w:themeColor="text1"/>
              </w:rPr>
              <w:t xml:space="preserve"> A., Niziołek R.: </w:t>
            </w:r>
            <w:proofErr w:type="spellStart"/>
            <w:r w:rsidRPr="00645090">
              <w:rPr>
                <w:color w:val="000000" w:themeColor="text1"/>
              </w:rPr>
              <w:t>Elsevier</w:t>
            </w:r>
            <w:proofErr w:type="spellEnd"/>
            <w:r w:rsidRPr="00645090">
              <w:rPr>
                <w:color w:val="000000" w:themeColor="text1"/>
              </w:rPr>
              <w:t xml:space="preserve"> Urban &amp; Partner Sp. z o.o.. 2009</w:t>
            </w:r>
          </w:p>
          <w:p w:rsidR="00023A99" w:rsidRDefault="003177A8" w:rsidP="003177A8">
            <w:pPr>
              <w:pStyle w:val="Akapitzlist"/>
              <w:numPr>
                <w:ilvl w:val="0"/>
                <w:numId w:val="4"/>
              </w:numPr>
              <w:jc w:val="both"/>
              <w:rPr>
                <w:color w:val="000000" w:themeColor="text1"/>
              </w:rPr>
            </w:pPr>
            <w:r>
              <w:rPr>
                <w:color w:val="000000" w:themeColor="text1"/>
              </w:rPr>
              <w:t>Ustawa</w:t>
            </w:r>
            <w:r w:rsidRPr="003177A8">
              <w:rPr>
                <w:color w:val="000000" w:themeColor="text1"/>
              </w:rPr>
              <w:t xml:space="preserve"> z dnia 11 marca 2004 r. o ochronie zdrowia zwierząt oraz zwalczaniu chorób zakaźnych zwierząt (Dz. U. 2004 Nr 69 poz. 625)</w:t>
            </w:r>
          </w:p>
          <w:p w:rsidR="00121499" w:rsidRDefault="00121499" w:rsidP="00121499">
            <w:pPr>
              <w:jc w:val="both"/>
              <w:rPr>
                <w:color w:val="000000" w:themeColor="text1"/>
              </w:rPr>
            </w:pPr>
            <w:r>
              <w:rPr>
                <w:color w:val="000000" w:themeColor="text1"/>
              </w:rPr>
              <w:t>Literatura uzupełniająca:</w:t>
            </w:r>
          </w:p>
          <w:p w:rsidR="00121499" w:rsidRDefault="00121499" w:rsidP="00121499">
            <w:pPr>
              <w:pStyle w:val="Akapitzlist"/>
              <w:numPr>
                <w:ilvl w:val="0"/>
                <w:numId w:val="5"/>
              </w:numPr>
              <w:jc w:val="both"/>
              <w:rPr>
                <w:color w:val="000000" w:themeColor="text1"/>
              </w:rPr>
            </w:pPr>
            <w:r w:rsidRPr="00121499">
              <w:rPr>
                <w:color w:val="000000" w:themeColor="text1"/>
              </w:rPr>
              <w:t>Kołacz R., Dobrzański Z. praca zbiorowa. Higiena i dobrostan zwierząt. Wyd. UP Wrocław, 2019</w:t>
            </w:r>
            <w:r w:rsidR="00F03606">
              <w:rPr>
                <w:color w:val="000000" w:themeColor="text1"/>
              </w:rPr>
              <w:t>.</w:t>
            </w:r>
          </w:p>
          <w:p w:rsidR="00F03606" w:rsidRPr="00121499" w:rsidRDefault="00F03606" w:rsidP="00121499">
            <w:pPr>
              <w:pStyle w:val="Akapitzlist"/>
              <w:numPr>
                <w:ilvl w:val="0"/>
                <w:numId w:val="5"/>
              </w:numPr>
              <w:jc w:val="both"/>
              <w:rPr>
                <w:color w:val="000000" w:themeColor="text1"/>
              </w:rPr>
            </w:pPr>
            <w:r w:rsidRPr="00F03606">
              <w:rPr>
                <w:color w:val="000000" w:themeColor="text1"/>
              </w:rPr>
              <w:t>Aktualne akty prawne i normy.</w:t>
            </w:r>
          </w:p>
        </w:tc>
      </w:tr>
      <w:tr w:rsidR="00023A99" w:rsidRPr="00F02E5D" w:rsidTr="00023A99">
        <w:tc>
          <w:tcPr>
            <w:tcW w:w="3942" w:type="dxa"/>
            <w:shd w:val="clear" w:color="auto" w:fill="auto"/>
          </w:tcPr>
          <w:p w:rsidR="00023A99" w:rsidRPr="00F02E5D" w:rsidRDefault="00023A99" w:rsidP="004C0125">
            <w:r w:rsidRPr="00F02E5D">
              <w:t>Planowane formy/działania/metody dydaktyczne</w:t>
            </w:r>
          </w:p>
        </w:tc>
        <w:tc>
          <w:tcPr>
            <w:tcW w:w="5344" w:type="dxa"/>
            <w:shd w:val="clear" w:color="auto" w:fill="auto"/>
          </w:tcPr>
          <w:p w:rsidR="00574E9F" w:rsidRPr="00574E9F" w:rsidRDefault="00574E9F" w:rsidP="00574E9F">
            <w:pPr>
              <w:jc w:val="both"/>
              <w:rPr>
                <w:color w:val="000000" w:themeColor="text1"/>
              </w:rPr>
            </w:pPr>
            <w:r w:rsidRPr="00574E9F">
              <w:rPr>
                <w:color w:val="000000" w:themeColor="text1"/>
              </w:rPr>
              <w:t>Metody dydaktyczne:</w:t>
            </w:r>
          </w:p>
          <w:p w:rsidR="00574E9F" w:rsidRPr="00574E9F" w:rsidRDefault="00574E9F" w:rsidP="00574E9F">
            <w:pPr>
              <w:jc w:val="both"/>
              <w:rPr>
                <w:color w:val="000000" w:themeColor="text1"/>
              </w:rPr>
            </w:pPr>
            <w:r w:rsidRPr="00574E9F">
              <w:rPr>
                <w:color w:val="000000" w:themeColor="text1"/>
              </w:rPr>
              <w:t>Wykłady –</w:t>
            </w:r>
            <w:r>
              <w:rPr>
                <w:color w:val="000000" w:themeColor="text1"/>
              </w:rPr>
              <w:t xml:space="preserve"> </w:t>
            </w:r>
            <w:r w:rsidRPr="00574E9F">
              <w:rPr>
                <w:color w:val="000000" w:themeColor="text1"/>
              </w:rPr>
              <w:t>prezentacje multimedialne, dyskusj</w:t>
            </w:r>
            <w:r>
              <w:rPr>
                <w:color w:val="000000" w:themeColor="text1"/>
              </w:rPr>
              <w:t>a</w:t>
            </w:r>
          </w:p>
          <w:p w:rsidR="00574E9F" w:rsidRPr="00D22BB9" w:rsidRDefault="00574E9F" w:rsidP="00574E9F">
            <w:pPr>
              <w:jc w:val="both"/>
              <w:rPr>
                <w:color w:val="FF0000"/>
              </w:rPr>
            </w:pPr>
            <w:r w:rsidRPr="00574E9F">
              <w:rPr>
                <w:color w:val="000000" w:themeColor="text1"/>
              </w:rPr>
              <w:t>Ćwiczenia –</w:t>
            </w:r>
            <w:r>
              <w:rPr>
                <w:color w:val="000000" w:themeColor="text1"/>
              </w:rPr>
              <w:t xml:space="preserve"> </w:t>
            </w:r>
            <w:r w:rsidRPr="00574E9F">
              <w:rPr>
                <w:color w:val="000000" w:themeColor="text1"/>
              </w:rPr>
              <w:t xml:space="preserve">prezentacje multimedialne, </w:t>
            </w:r>
            <w:r>
              <w:rPr>
                <w:color w:val="000000" w:themeColor="text1"/>
              </w:rPr>
              <w:t xml:space="preserve">praca własna, </w:t>
            </w:r>
            <w:r w:rsidRPr="00574E9F">
              <w:rPr>
                <w:color w:val="000000" w:themeColor="text1"/>
              </w:rPr>
              <w:t>dyskusj</w:t>
            </w:r>
            <w:r>
              <w:rPr>
                <w:color w:val="000000" w:themeColor="text1"/>
              </w:rPr>
              <w:t>a</w:t>
            </w:r>
            <w:r w:rsidRPr="00574E9F">
              <w:rPr>
                <w:color w:val="000000" w:themeColor="text1"/>
              </w:rPr>
              <w:t>.</w:t>
            </w:r>
          </w:p>
        </w:tc>
      </w:tr>
      <w:tr w:rsidR="00023A99" w:rsidRPr="00F02E5D" w:rsidTr="00023A99">
        <w:tc>
          <w:tcPr>
            <w:tcW w:w="3942" w:type="dxa"/>
            <w:shd w:val="clear" w:color="auto" w:fill="auto"/>
          </w:tcPr>
          <w:p w:rsidR="00023A99" w:rsidRPr="00F02E5D" w:rsidRDefault="00023A99" w:rsidP="00D2747A">
            <w:r w:rsidRPr="00F02E5D">
              <w:t xml:space="preserve">Sposoby weryfikacji oraz formy dokumentowania osiągniętych efektów </w:t>
            </w:r>
            <w:r w:rsidR="00D2747A" w:rsidRPr="00F02E5D">
              <w:t>uczenia się</w:t>
            </w:r>
          </w:p>
        </w:tc>
        <w:tc>
          <w:tcPr>
            <w:tcW w:w="5344" w:type="dxa"/>
            <w:shd w:val="clear" w:color="auto" w:fill="auto"/>
          </w:tcPr>
          <w:p w:rsidR="00B41E0D" w:rsidRPr="007C7E24" w:rsidRDefault="00B41E0D" w:rsidP="00FD418B">
            <w:pPr>
              <w:spacing w:line="256" w:lineRule="auto"/>
              <w:jc w:val="both"/>
              <w:rPr>
                <w:lang w:eastAsia="en-US"/>
              </w:rPr>
            </w:pPr>
            <w:r w:rsidRPr="007C7E24">
              <w:rPr>
                <w:sz w:val="22"/>
                <w:szCs w:val="22"/>
                <w:lang w:eastAsia="en-US"/>
              </w:rPr>
              <w:t>Sposoby weryfikacji:</w:t>
            </w:r>
          </w:p>
          <w:p w:rsidR="00B41E0D" w:rsidRDefault="00B41E0D" w:rsidP="00FD418B">
            <w:pPr>
              <w:pStyle w:val="Default"/>
              <w:jc w:val="both"/>
              <w:rPr>
                <w:sz w:val="22"/>
                <w:szCs w:val="22"/>
              </w:rPr>
            </w:pPr>
            <w:r>
              <w:rPr>
                <w:sz w:val="22"/>
                <w:szCs w:val="22"/>
              </w:rPr>
              <w:t xml:space="preserve">W1., W2., – ocena z dwóch zaliczeń i egzaminu, praca/aktywność podczas zajęć </w:t>
            </w:r>
          </w:p>
          <w:p w:rsidR="00B41E0D" w:rsidRDefault="00B41E0D" w:rsidP="00FD418B">
            <w:pPr>
              <w:pStyle w:val="Default"/>
              <w:jc w:val="both"/>
              <w:rPr>
                <w:sz w:val="22"/>
                <w:szCs w:val="22"/>
              </w:rPr>
            </w:pPr>
            <w:r>
              <w:rPr>
                <w:sz w:val="22"/>
                <w:szCs w:val="22"/>
              </w:rPr>
              <w:t xml:space="preserve">U1. U2. – </w:t>
            </w:r>
            <w:r w:rsidRPr="00B41E0D">
              <w:rPr>
                <w:sz w:val="22"/>
                <w:szCs w:val="22"/>
              </w:rPr>
              <w:t>ocena dwóch zaliczeń pisemnych w formie pytań otwartych lub zamkniętych</w:t>
            </w:r>
            <w:r>
              <w:rPr>
                <w:sz w:val="22"/>
                <w:szCs w:val="22"/>
              </w:rPr>
              <w:t>, praca na  ćwiczeniach, udział w dyskusji</w:t>
            </w:r>
          </w:p>
          <w:p w:rsidR="00B41E0D" w:rsidRDefault="00B41E0D" w:rsidP="00FD418B">
            <w:pPr>
              <w:pStyle w:val="Default"/>
              <w:jc w:val="both"/>
              <w:rPr>
                <w:sz w:val="22"/>
                <w:szCs w:val="22"/>
              </w:rPr>
            </w:pPr>
            <w:r>
              <w:rPr>
                <w:sz w:val="22"/>
                <w:szCs w:val="22"/>
              </w:rPr>
              <w:t xml:space="preserve">K1. K2. – obecność, aktywność podczas zajęć, bieżąca ocena kompetencji </w:t>
            </w:r>
          </w:p>
          <w:p w:rsidR="009C564E" w:rsidRDefault="009C564E" w:rsidP="00FD418B">
            <w:pPr>
              <w:pStyle w:val="Default"/>
              <w:jc w:val="both"/>
              <w:rPr>
                <w:sz w:val="22"/>
                <w:szCs w:val="22"/>
              </w:rPr>
            </w:pPr>
          </w:p>
          <w:p w:rsidR="009C564E" w:rsidRPr="009C564E" w:rsidRDefault="009C564E" w:rsidP="00FD418B">
            <w:pPr>
              <w:spacing w:line="256" w:lineRule="auto"/>
              <w:jc w:val="both"/>
              <w:rPr>
                <w:lang w:eastAsia="en-US"/>
              </w:rPr>
            </w:pPr>
            <w:r w:rsidRPr="009C564E">
              <w:rPr>
                <w:sz w:val="22"/>
                <w:szCs w:val="22"/>
                <w:lang w:eastAsia="en-US"/>
              </w:rPr>
              <w:t>Dokumentowanie osiągniętych efektów uczenia się:</w:t>
            </w:r>
          </w:p>
          <w:p w:rsidR="009C564E" w:rsidRDefault="009C564E" w:rsidP="00FD418B">
            <w:pPr>
              <w:spacing w:line="256" w:lineRule="auto"/>
              <w:jc w:val="both"/>
              <w:rPr>
                <w:lang w:eastAsia="en-US"/>
              </w:rPr>
            </w:pPr>
            <w:r w:rsidRPr="007C7E24">
              <w:rPr>
                <w:sz w:val="22"/>
                <w:szCs w:val="22"/>
                <w:lang w:eastAsia="en-US"/>
              </w:rPr>
              <w:t>prace etapowe: zaliczenia cząstkowe</w:t>
            </w:r>
            <w:r>
              <w:rPr>
                <w:sz w:val="22"/>
                <w:szCs w:val="22"/>
                <w:lang w:eastAsia="en-US"/>
              </w:rPr>
              <w:t>;</w:t>
            </w:r>
            <w:r w:rsidRPr="007C7E24">
              <w:rPr>
                <w:sz w:val="22"/>
                <w:szCs w:val="22"/>
                <w:lang w:eastAsia="en-US"/>
              </w:rPr>
              <w:t xml:space="preserve"> </w:t>
            </w:r>
            <w:r>
              <w:rPr>
                <w:sz w:val="22"/>
                <w:szCs w:val="22"/>
                <w:lang w:eastAsia="en-US"/>
              </w:rPr>
              <w:t>wykonywanie zadań na ćwiczeniach;</w:t>
            </w:r>
            <w:r w:rsidRPr="007C7E24">
              <w:rPr>
                <w:sz w:val="22"/>
                <w:szCs w:val="22"/>
                <w:lang w:eastAsia="en-US"/>
              </w:rPr>
              <w:t xml:space="preserve">  egzamin w formie uzgodnionej ze studentami (zazwyczaj test)</w:t>
            </w:r>
            <w:r>
              <w:rPr>
                <w:sz w:val="22"/>
                <w:szCs w:val="22"/>
                <w:lang w:eastAsia="en-US"/>
              </w:rPr>
              <w:t>;</w:t>
            </w:r>
            <w:r w:rsidRPr="007C7E24">
              <w:rPr>
                <w:sz w:val="22"/>
                <w:szCs w:val="22"/>
                <w:lang w:eastAsia="en-US"/>
              </w:rPr>
              <w:t xml:space="preserve"> archiwizowanie w formie papierowej lub cyfrowej; dziennik prowadzącego</w:t>
            </w:r>
          </w:p>
          <w:p w:rsidR="00FD418B" w:rsidRDefault="00FD418B" w:rsidP="00FD418B">
            <w:pPr>
              <w:spacing w:line="256" w:lineRule="auto"/>
              <w:jc w:val="both"/>
              <w:rPr>
                <w:lang w:eastAsia="en-US"/>
              </w:rPr>
            </w:pPr>
          </w:p>
          <w:p w:rsidR="00FD418B" w:rsidRPr="007C7E24" w:rsidRDefault="00FD418B" w:rsidP="00FD418B">
            <w:pPr>
              <w:spacing w:line="256" w:lineRule="auto"/>
              <w:jc w:val="both"/>
              <w:rPr>
                <w:lang w:eastAsia="en-US"/>
              </w:rPr>
            </w:pPr>
            <w:r w:rsidRPr="007C7E24">
              <w:rPr>
                <w:sz w:val="22"/>
                <w:szCs w:val="22"/>
                <w:lang w:eastAsia="en-US"/>
              </w:rPr>
              <w:t>Szczegółowe kryteria przy ocenie zaliczenia i prac kontrolnych</w:t>
            </w:r>
            <w:r>
              <w:rPr>
                <w:sz w:val="22"/>
                <w:szCs w:val="22"/>
                <w:lang w:eastAsia="en-US"/>
              </w:rPr>
              <w:t>:</w:t>
            </w:r>
          </w:p>
          <w:p w:rsidR="00FD418B" w:rsidRPr="007C7E24" w:rsidRDefault="00FD418B" w:rsidP="00FD418B">
            <w:pPr>
              <w:pStyle w:val="Akapitzlist"/>
              <w:numPr>
                <w:ilvl w:val="0"/>
                <w:numId w:val="3"/>
              </w:numPr>
              <w:spacing w:line="256" w:lineRule="auto"/>
              <w:ind w:left="197" w:hanging="218"/>
              <w:jc w:val="both"/>
              <w:rPr>
                <w:lang w:eastAsia="en-US"/>
              </w:rPr>
            </w:pPr>
            <w:r w:rsidRPr="007C7E24">
              <w:rPr>
                <w:sz w:val="22"/>
                <w:szCs w:val="22"/>
                <w:lang w:eastAsia="en-US"/>
              </w:rPr>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rsidR="00FD418B" w:rsidRPr="007C7E24" w:rsidRDefault="00FD418B" w:rsidP="00FD418B">
            <w:pPr>
              <w:pStyle w:val="Akapitzlist"/>
              <w:numPr>
                <w:ilvl w:val="0"/>
                <w:numId w:val="3"/>
              </w:numPr>
              <w:spacing w:line="256" w:lineRule="auto"/>
              <w:ind w:left="197" w:hanging="218"/>
              <w:jc w:val="both"/>
              <w:rPr>
                <w:lang w:eastAsia="en-US"/>
              </w:rPr>
            </w:pPr>
            <w:r w:rsidRPr="007C7E24">
              <w:rPr>
                <w:sz w:val="22"/>
                <w:szCs w:val="22"/>
                <w:lang w:eastAsia="en-US"/>
              </w:rPr>
              <w:t xml:space="preserve">student wykazuje dostateczny plus (3,5) stopień wiedzy, umiejętności lub kompetencji, gdy uzyskuje od 61 do 70% sumy punktów określających maksymalny poziom wiedzy lub umiejętności z danego przedmiotu (odpowiednio – jego części), </w:t>
            </w:r>
          </w:p>
          <w:p w:rsidR="00FD418B" w:rsidRPr="007C7E24" w:rsidRDefault="00FD418B" w:rsidP="00FD418B">
            <w:pPr>
              <w:pStyle w:val="Akapitzlist"/>
              <w:numPr>
                <w:ilvl w:val="0"/>
                <w:numId w:val="3"/>
              </w:numPr>
              <w:spacing w:line="256" w:lineRule="auto"/>
              <w:ind w:left="197" w:hanging="218"/>
              <w:jc w:val="both"/>
              <w:rPr>
                <w:lang w:eastAsia="en-US"/>
              </w:rPr>
            </w:pPr>
            <w:r w:rsidRPr="007C7E24">
              <w:rPr>
                <w:sz w:val="22"/>
                <w:szCs w:val="22"/>
                <w:lang w:eastAsia="en-US"/>
              </w:rPr>
              <w:t xml:space="preserve">student wykazuje dobry stopień (4,0) wiedzy, umiejętności lub kompetencji, gdy uzyskuje od 71 do 80% sumy punktów określających maksymalny poziom wiedzy lub umiejętności z danego przedmiotu (odpowiednio – jego części), </w:t>
            </w:r>
          </w:p>
          <w:p w:rsidR="00FD418B" w:rsidRPr="00FD418B" w:rsidRDefault="00FD418B" w:rsidP="00FD418B">
            <w:pPr>
              <w:pStyle w:val="Akapitzlist"/>
              <w:numPr>
                <w:ilvl w:val="0"/>
                <w:numId w:val="3"/>
              </w:numPr>
              <w:spacing w:line="256" w:lineRule="auto"/>
              <w:ind w:left="197" w:hanging="218"/>
              <w:jc w:val="both"/>
              <w:rPr>
                <w:rFonts w:eastAsiaTheme="minorHAnsi"/>
                <w:lang w:eastAsia="en-US"/>
              </w:rPr>
            </w:pPr>
            <w:r w:rsidRPr="007C7E24">
              <w:rPr>
                <w:sz w:val="22"/>
                <w:szCs w:val="22"/>
                <w:lang w:eastAsia="en-US"/>
              </w:rPr>
              <w:t>student wykazuje plus dobry stopień (4,5) wiedzy, umiejętności lub kompetencji, gdy uzyskuje od 81 do 90% sumy punktów określających maksymalny poziom wiedzy lub umiejętności z danego przedmiotu (odpowiednio – jego części),</w:t>
            </w:r>
          </w:p>
          <w:p w:rsidR="00FD418B" w:rsidRPr="00FD418B" w:rsidRDefault="00FD418B" w:rsidP="00FD418B">
            <w:pPr>
              <w:pStyle w:val="Akapitzlist"/>
              <w:numPr>
                <w:ilvl w:val="0"/>
                <w:numId w:val="3"/>
              </w:numPr>
              <w:spacing w:line="256" w:lineRule="auto"/>
              <w:ind w:left="197" w:hanging="218"/>
              <w:jc w:val="both"/>
              <w:rPr>
                <w:rFonts w:eastAsiaTheme="minorHAnsi"/>
                <w:lang w:eastAsia="en-US"/>
              </w:rPr>
            </w:pPr>
            <w:r w:rsidRPr="00FD418B">
              <w:rPr>
                <w:sz w:val="22"/>
                <w:szCs w:val="22"/>
                <w:lang w:eastAsia="en-US"/>
              </w:rPr>
              <w:t>student wykazuje bardzo dobry stopień (5,0) wiedzy, umiejętności lub kompetencji, gdy uzyskuje powyżej 91% sumy punktów określających maksymalny poziom wiedzy lub umiejętności z danego przedmiotu (odpowiednio – jego części).</w:t>
            </w:r>
          </w:p>
        </w:tc>
      </w:tr>
      <w:tr w:rsidR="0032739E" w:rsidRPr="00F02E5D" w:rsidTr="00023A99">
        <w:tc>
          <w:tcPr>
            <w:tcW w:w="3942" w:type="dxa"/>
            <w:shd w:val="clear" w:color="auto" w:fill="auto"/>
          </w:tcPr>
          <w:p w:rsidR="0032739E" w:rsidRPr="003B32BF" w:rsidRDefault="0032739E" w:rsidP="00D2747A">
            <w:r w:rsidRPr="003B32BF">
              <w:lastRenderedPageBreak/>
              <w:t>Elementy i wagi mające wpływ na ocenę końcową</w:t>
            </w:r>
          </w:p>
          <w:p w:rsidR="009C2572" w:rsidRPr="003B32BF" w:rsidRDefault="009C2572" w:rsidP="00D2747A"/>
          <w:p w:rsidR="009C2572" w:rsidRPr="003B32BF" w:rsidRDefault="009C2572" w:rsidP="00D2747A"/>
        </w:tc>
        <w:tc>
          <w:tcPr>
            <w:tcW w:w="5344" w:type="dxa"/>
            <w:shd w:val="clear" w:color="auto" w:fill="auto"/>
          </w:tcPr>
          <w:p w:rsidR="00A54DA3" w:rsidRDefault="00A54DA3" w:rsidP="004C0125">
            <w:pPr>
              <w:jc w:val="both"/>
              <w:rPr>
                <w:lang w:eastAsia="en-US"/>
              </w:rPr>
            </w:pPr>
            <w:r w:rsidRPr="007C7E24">
              <w:rPr>
                <w:sz w:val="22"/>
                <w:szCs w:val="22"/>
                <w:lang w:eastAsia="en-US"/>
              </w:rPr>
              <w:t xml:space="preserve">Ocena końcowa = </w:t>
            </w:r>
            <w:r>
              <w:rPr>
                <w:sz w:val="22"/>
                <w:szCs w:val="22"/>
                <w:lang w:eastAsia="en-US"/>
              </w:rPr>
              <w:t>5</w:t>
            </w:r>
            <w:r w:rsidRPr="007C7E24">
              <w:rPr>
                <w:sz w:val="22"/>
                <w:szCs w:val="22"/>
                <w:lang w:eastAsia="en-US"/>
              </w:rPr>
              <w:t xml:space="preserve">0 % średnia arytmetyczna z ocen uzyskanych na ćwiczeniach (oceny zaliczeń, oceny aktywności – pracy grupowej/indywidualnej) + </w:t>
            </w:r>
            <w:r>
              <w:rPr>
                <w:sz w:val="22"/>
                <w:szCs w:val="22"/>
                <w:lang w:eastAsia="en-US"/>
              </w:rPr>
              <w:t>5</w:t>
            </w:r>
            <w:r w:rsidRPr="007C7E24">
              <w:rPr>
                <w:sz w:val="22"/>
                <w:szCs w:val="22"/>
                <w:lang w:eastAsia="en-US"/>
              </w:rPr>
              <w:t xml:space="preserve">0% ocena z egzaminu. </w:t>
            </w:r>
          </w:p>
          <w:p w:rsidR="0032739E" w:rsidRPr="00D22BB9" w:rsidRDefault="00A54DA3" w:rsidP="004C0125">
            <w:pPr>
              <w:jc w:val="both"/>
              <w:rPr>
                <w:color w:val="FF0000"/>
              </w:rPr>
            </w:pPr>
            <w:r w:rsidRPr="007C7E24">
              <w:rPr>
                <w:sz w:val="22"/>
                <w:szCs w:val="22"/>
                <w:lang w:eastAsia="en-US"/>
              </w:rPr>
              <w:t>Warunki te są przedstawiane na pierwszych zajęciach.</w:t>
            </w:r>
          </w:p>
        </w:tc>
      </w:tr>
      <w:tr w:rsidR="00023A99" w:rsidRPr="00F02E5D" w:rsidTr="000F587A">
        <w:trPr>
          <w:trHeight w:val="2324"/>
        </w:trPr>
        <w:tc>
          <w:tcPr>
            <w:tcW w:w="3942" w:type="dxa"/>
            <w:shd w:val="clear" w:color="auto" w:fill="auto"/>
          </w:tcPr>
          <w:p w:rsidR="00023A99" w:rsidRPr="00F02E5D" w:rsidRDefault="00023A99" w:rsidP="004C0125">
            <w:pPr>
              <w:jc w:val="both"/>
            </w:pPr>
            <w:r w:rsidRPr="00F02E5D">
              <w:t>Bilans punktów ECTS</w:t>
            </w:r>
          </w:p>
        </w:tc>
        <w:tc>
          <w:tcPr>
            <w:tcW w:w="5344" w:type="dxa"/>
            <w:shd w:val="clear" w:color="auto" w:fill="auto"/>
          </w:tcPr>
          <w:p w:rsidR="007E045C" w:rsidRPr="007C7E24" w:rsidRDefault="007E045C" w:rsidP="007E045C">
            <w:pPr>
              <w:spacing w:line="256" w:lineRule="auto"/>
              <w:rPr>
                <w:lang w:eastAsia="en-US"/>
              </w:rPr>
            </w:pPr>
            <w:r w:rsidRPr="007C7E24">
              <w:rPr>
                <w:sz w:val="22"/>
                <w:szCs w:val="22"/>
                <w:lang w:eastAsia="en-US"/>
              </w:rPr>
              <w:t>Kontaktowe</w:t>
            </w:r>
            <w:r>
              <w:rPr>
                <w:sz w:val="22"/>
                <w:szCs w:val="22"/>
                <w:lang w:eastAsia="en-US"/>
              </w:rPr>
              <w:t>:</w:t>
            </w:r>
          </w:p>
          <w:p w:rsidR="007E045C" w:rsidRPr="007C7E24" w:rsidRDefault="007E045C" w:rsidP="007E045C">
            <w:pPr>
              <w:pStyle w:val="Akapitzlist"/>
              <w:numPr>
                <w:ilvl w:val="0"/>
                <w:numId w:val="1"/>
              </w:numPr>
              <w:spacing w:line="256" w:lineRule="auto"/>
              <w:ind w:left="480"/>
              <w:rPr>
                <w:lang w:eastAsia="en-US"/>
              </w:rPr>
            </w:pPr>
            <w:r w:rsidRPr="007C7E24">
              <w:rPr>
                <w:sz w:val="22"/>
                <w:szCs w:val="22"/>
                <w:lang w:eastAsia="en-US"/>
              </w:rPr>
              <w:t>wykład (</w:t>
            </w:r>
            <w:r>
              <w:rPr>
                <w:sz w:val="22"/>
                <w:szCs w:val="22"/>
                <w:lang w:eastAsia="en-US"/>
              </w:rPr>
              <w:t>9</w:t>
            </w:r>
            <w:r w:rsidRPr="007C7E24">
              <w:rPr>
                <w:sz w:val="22"/>
                <w:szCs w:val="22"/>
                <w:lang w:eastAsia="en-US"/>
              </w:rPr>
              <w:t xml:space="preserve"> godz./0,</w:t>
            </w:r>
            <w:r>
              <w:rPr>
                <w:sz w:val="22"/>
                <w:szCs w:val="22"/>
                <w:lang w:eastAsia="en-US"/>
              </w:rPr>
              <w:t>3</w:t>
            </w:r>
            <w:r w:rsidRPr="007C7E24">
              <w:rPr>
                <w:sz w:val="22"/>
                <w:szCs w:val="22"/>
                <w:lang w:eastAsia="en-US"/>
              </w:rPr>
              <w:t xml:space="preserve">6 ECTS), </w:t>
            </w:r>
          </w:p>
          <w:p w:rsidR="007E045C" w:rsidRPr="007C7E24" w:rsidRDefault="007E045C" w:rsidP="007E045C">
            <w:pPr>
              <w:pStyle w:val="Akapitzlist"/>
              <w:numPr>
                <w:ilvl w:val="0"/>
                <w:numId w:val="1"/>
              </w:numPr>
              <w:spacing w:line="256" w:lineRule="auto"/>
              <w:ind w:left="480"/>
              <w:rPr>
                <w:lang w:eastAsia="en-US"/>
              </w:rPr>
            </w:pPr>
            <w:r w:rsidRPr="007C7E24">
              <w:rPr>
                <w:sz w:val="22"/>
                <w:szCs w:val="22"/>
                <w:lang w:eastAsia="en-US"/>
              </w:rPr>
              <w:t>ćwiczenia (</w:t>
            </w:r>
            <w:r>
              <w:rPr>
                <w:sz w:val="22"/>
                <w:szCs w:val="22"/>
                <w:lang w:eastAsia="en-US"/>
              </w:rPr>
              <w:t>9</w:t>
            </w:r>
            <w:r w:rsidRPr="007C7E24">
              <w:rPr>
                <w:sz w:val="22"/>
                <w:szCs w:val="22"/>
                <w:lang w:eastAsia="en-US"/>
              </w:rPr>
              <w:t xml:space="preserve"> godz./</w:t>
            </w:r>
            <w:r>
              <w:rPr>
                <w:sz w:val="22"/>
                <w:szCs w:val="22"/>
                <w:lang w:eastAsia="en-US"/>
              </w:rPr>
              <w:t>0,36</w:t>
            </w:r>
            <w:r w:rsidRPr="007C7E24">
              <w:rPr>
                <w:sz w:val="22"/>
                <w:szCs w:val="22"/>
                <w:lang w:eastAsia="en-US"/>
              </w:rPr>
              <w:t xml:space="preserve"> ECTS), </w:t>
            </w:r>
          </w:p>
          <w:p w:rsidR="007E045C" w:rsidRPr="007C7E24" w:rsidRDefault="007E045C" w:rsidP="007E045C">
            <w:pPr>
              <w:pStyle w:val="Akapitzlist"/>
              <w:numPr>
                <w:ilvl w:val="0"/>
                <w:numId w:val="1"/>
              </w:numPr>
              <w:spacing w:line="256" w:lineRule="auto"/>
              <w:ind w:left="480"/>
              <w:rPr>
                <w:lang w:eastAsia="en-US"/>
              </w:rPr>
            </w:pPr>
            <w:r w:rsidRPr="007C7E24">
              <w:rPr>
                <w:sz w:val="22"/>
                <w:szCs w:val="22"/>
                <w:lang w:eastAsia="en-US"/>
              </w:rPr>
              <w:t>konsultacje (</w:t>
            </w:r>
            <w:r>
              <w:rPr>
                <w:sz w:val="22"/>
                <w:szCs w:val="22"/>
                <w:lang w:eastAsia="en-US"/>
              </w:rPr>
              <w:t>3</w:t>
            </w:r>
            <w:r w:rsidRPr="007C7E24">
              <w:rPr>
                <w:sz w:val="22"/>
                <w:szCs w:val="22"/>
                <w:lang w:eastAsia="en-US"/>
              </w:rPr>
              <w:t xml:space="preserve"> godz./0,</w:t>
            </w:r>
            <w:r>
              <w:rPr>
                <w:sz w:val="22"/>
                <w:szCs w:val="22"/>
                <w:lang w:eastAsia="en-US"/>
              </w:rPr>
              <w:t>12</w:t>
            </w:r>
            <w:r w:rsidRPr="007C7E24">
              <w:rPr>
                <w:sz w:val="22"/>
                <w:szCs w:val="22"/>
                <w:lang w:eastAsia="en-US"/>
              </w:rPr>
              <w:t xml:space="preserve"> ECTS), </w:t>
            </w:r>
          </w:p>
          <w:p w:rsidR="007E045C" w:rsidRPr="007C7E24" w:rsidRDefault="007E045C" w:rsidP="007E045C">
            <w:pPr>
              <w:pStyle w:val="Akapitzlist"/>
              <w:numPr>
                <w:ilvl w:val="0"/>
                <w:numId w:val="1"/>
              </w:numPr>
              <w:spacing w:line="256" w:lineRule="auto"/>
              <w:ind w:left="480"/>
              <w:rPr>
                <w:lang w:eastAsia="en-US"/>
              </w:rPr>
            </w:pPr>
            <w:r w:rsidRPr="007C7E24">
              <w:rPr>
                <w:sz w:val="22"/>
                <w:szCs w:val="22"/>
                <w:lang w:eastAsia="en-US"/>
              </w:rPr>
              <w:t>egzamin (</w:t>
            </w:r>
            <w:r>
              <w:rPr>
                <w:sz w:val="22"/>
                <w:szCs w:val="22"/>
                <w:lang w:eastAsia="en-US"/>
              </w:rPr>
              <w:t>1</w:t>
            </w:r>
            <w:r w:rsidRPr="007C7E24">
              <w:rPr>
                <w:sz w:val="22"/>
                <w:szCs w:val="22"/>
                <w:lang w:eastAsia="en-US"/>
              </w:rPr>
              <w:t xml:space="preserve"> godz./0,0</w:t>
            </w:r>
            <w:r>
              <w:rPr>
                <w:sz w:val="22"/>
                <w:szCs w:val="22"/>
                <w:lang w:eastAsia="en-US"/>
              </w:rPr>
              <w:t>4</w:t>
            </w:r>
            <w:r w:rsidRPr="007C7E24">
              <w:rPr>
                <w:sz w:val="22"/>
                <w:szCs w:val="22"/>
                <w:lang w:eastAsia="en-US"/>
              </w:rPr>
              <w:t xml:space="preserve"> ECTS). </w:t>
            </w:r>
          </w:p>
          <w:p w:rsidR="007E045C" w:rsidRPr="007C7E24" w:rsidRDefault="007E045C" w:rsidP="007E045C">
            <w:pPr>
              <w:spacing w:line="256" w:lineRule="auto"/>
              <w:ind w:left="120"/>
              <w:rPr>
                <w:lang w:eastAsia="en-US"/>
              </w:rPr>
            </w:pPr>
            <w:r w:rsidRPr="007C7E24">
              <w:rPr>
                <w:sz w:val="22"/>
                <w:szCs w:val="22"/>
                <w:lang w:eastAsia="en-US"/>
              </w:rPr>
              <w:t xml:space="preserve">Łącznie – </w:t>
            </w:r>
            <w:r>
              <w:rPr>
                <w:sz w:val="22"/>
                <w:szCs w:val="22"/>
                <w:lang w:eastAsia="en-US"/>
              </w:rPr>
              <w:t>21</w:t>
            </w:r>
            <w:r w:rsidRPr="007C7E24">
              <w:rPr>
                <w:sz w:val="22"/>
                <w:szCs w:val="22"/>
                <w:lang w:eastAsia="en-US"/>
              </w:rPr>
              <w:t xml:space="preserve"> godz./</w:t>
            </w:r>
            <w:r>
              <w:rPr>
                <w:sz w:val="22"/>
                <w:szCs w:val="22"/>
                <w:lang w:eastAsia="en-US"/>
              </w:rPr>
              <w:t>0,88</w:t>
            </w:r>
            <w:r w:rsidRPr="007C7E24">
              <w:rPr>
                <w:sz w:val="22"/>
                <w:szCs w:val="22"/>
                <w:lang w:eastAsia="en-US"/>
              </w:rPr>
              <w:t xml:space="preserve"> ECTS</w:t>
            </w:r>
          </w:p>
          <w:p w:rsidR="007E045C" w:rsidRPr="007C7E24" w:rsidRDefault="007E045C" w:rsidP="007E045C">
            <w:pPr>
              <w:spacing w:line="256" w:lineRule="auto"/>
              <w:rPr>
                <w:lang w:eastAsia="en-US"/>
              </w:rPr>
            </w:pPr>
          </w:p>
          <w:p w:rsidR="007E045C" w:rsidRPr="007C7E24" w:rsidRDefault="007E045C" w:rsidP="007E045C">
            <w:pPr>
              <w:spacing w:line="256" w:lineRule="auto"/>
              <w:rPr>
                <w:lang w:eastAsia="en-US"/>
              </w:rPr>
            </w:pPr>
            <w:proofErr w:type="spellStart"/>
            <w:r w:rsidRPr="007C7E24">
              <w:rPr>
                <w:sz w:val="22"/>
                <w:szCs w:val="22"/>
                <w:lang w:eastAsia="en-US"/>
              </w:rPr>
              <w:t>Niekontaktowe</w:t>
            </w:r>
            <w:proofErr w:type="spellEnd"/>
            <w:r w:rsidRPr="007C7E24">
              <w:rPr>
                <w:sz w:val="22"/>
                <w:szCs w:val="22"/>
                <w:lang w:eastAsia="en-US"/>
              </w:rPr>
              <w:t>:</w:t>
            </w:r>
          </w:p>
          <w:p w:rsidR="007E045C" w:rsidRPr="007C7E24" w:rsidRDefault="007E045C" w:rsidP="007E045C">
            <w:pPr>
              <w:pStyle w:val="Akapitzlist"/>
              <w:numPr>
                <w:ilvl w:val="0"/>
                <w:numId w:val="2"/>
              </w:numPr>
              <w:spacing w:line="256" w:lineRule="auto"/>
              <w:ind w:left="480"/>
              <w:rPr>
                <w:lang w:eastAsia="en-US"/>
              </w:rPr>
            </w:pPr>
            <w:r w:rsidRPr="007C7E24">
              <w:rPr>
                <w:sz w:val="22"/>
                <w:szCs w:val="22"/>
                <w:lang w:eastAsia="en-US"/>
              </w:rPr>
              <w:t>przygotowanie do zajęć  (15 godz./0,6 ECTS),</w:t>
            </w:r>
          </w:p>
          <w:p w:rsidR="007E045C" w:rsidRPr="007C7E24" w:rsidRDefault="007E045C" w:rsidP="007E045C">
            <w:pPr>
              <w:pStyle w:val="Akapitzlist"/>
              <w:numPr>
                <w:ilvl w:val="0"/>
                <w:numId w:val="2"/>
              </w:numPr>
              <w:spacing w:line="256" w:lineRule="auto"/>
              <w:ind w:left="480"/>
              <w:rPr>
                <w:lang w:eastAsia="en-US"/>
              </w:rPr>
            </w:pPr>
            <w:r w:rsidRPr="007C7E24">
              <w:rPr>
                <w:sz w:val="22"/>
                <w:szCs w:val="22"/>
                <w:lang w:eastAsia="en-US"/>
              </w:rPr>
              <w:t>studiowanie literatury (</w:t>
            </w:r>
            <w:r>
              <w:rPr>
                <w:sz w:val="22"/>
                <w:szCs w:val="22"/>
                <w:lang w:eastAsia="en-US"/>
              </w:rPr>
              <w:t>2</w:t>
            </w:r>
            <w:r w:rsidRPr="007C7E24">
              <w:rPr>
                <w:sz w:val="22"/>
                <w:szCs w:val="22"/>
                <w:lang w:eastAsia="en-US"/>
              </w:rPr>
              <w:t>5 godz./1 ECTS),</w:t>
            </w:r>
          </w:p>
          <w:p w:rsidR="007E045C" w:rsidRPr="007C7E24" w:rsidRDefault="007E045C" w:rsidP="007E045C">
            <w:pPr>
              <w:pStyle w:val="Akapitzlist"/>
              <w:numPr>
                <w:ilvl w:val="0"/>
                <w:numId w:val="2"/>
              </w:numPr>
              <w:spacing w:line="256" w:lineRule="auto"/>
              <w:ind w:left="480"/>
              <w:rPr>
                <w:lang w:eastAsia="en-US"/>
              </w:rPr>
            </w:pPr>
            <w:r w:rsidRPr="007C7E24">
              <w:rPr>
                <w:sz w:val="22"/>
                <w:szCs w:val="22"/>
                <w:lang w:eastAsia="en-US"/>
              </w:rPr>
              <w:t>przygotowanie do egzaminu (1</w:t>
            </w:r>
            <w:r>
              <w:rPr>
                <w:sz w:val="22"/>
                <w:szCs w:val="22"/>
                <w:lang w:eastAsia="en-US"/>
              </w:rPr>
              <w:t>3</w:t>
            </w:r>
            <w:r w:rsidRPr="007C7E24">
              <w:rPr>
                <w:sz w:val="22"/>
                <w:szCs w:val="22"/>
                <w:lang w:eastAsia="en-US"/>
              </w:rPr>
              <w:t xml:space="preserve"> godz./0,</w:t>
            </w:r>
            <w:r>
              <w:rPr>
                <w:sz w:val="22"/>
                <w:szCs w:val="22"/>
                <w:lang w:eastAsia="en-US"/>
              </w:rPr>
              <w:t>52</w:t>
            </w:r>
            <w:r w:rsidRPr="007C7E24">
              <w:rPr>
                <w:sz w:val="22"/>
                <w:szCs w:val="22"/>
                <w:lang w:eastAsia="en-US"/>
              </w:rPr>
              <w:t>)</w:t>
            </w:r>
          </w:p>
          <w:p w:rsidR="00023A99" w:rsidRPr="00D22BB9" w:rsidRDefault="007E045C" w:rsidP="004C0125">
            <w:pPr>
              <w:jc w:val="both"/>
              <w:rPr>
                <w:color w:val="FF0000"/>
              </w:rPr>
            </w:pPr>
            <w:r w:rsidRPr="007C7E24">
              <w:rPr>
                <w:sz w:val="22"/>
                <w:szCs w:val="22"/>
                <w:lang w:eastAsia="en-US"/>
              </w:rPr>
              <w:lastRenderedPageBreak/>
              <w:t xml:space="preserve">Łącznie </w:t>
            </w:r>
            <w:r>
              <w:rPr>
                <w:sz w:val="22"/>
                <w:szCs w:val="22"/>
                <w:lang w:eastAsia="en-US"/>
              </w:rPr>
              <w:t>53</w:t>
            </w:r>
            <w:r w:rsidRPr="007C7E24">
              <w:rPr>
                <w:sz w:val="22"/>
                <w:szCs w:val="22"/>
                <w:lang w:eastAsia="en-US"/>
              </w:rPr>
              <w:t xml:space="preserve"> godz./2,</w:t>
            </w:r>
            <w:r>
              <w:rPr>
                <w:sz w:val="22"/>
                <w:szCs w:val="22"/>
                <w:lang w:eastAsia="en-US"/>
              </w:rPr>
              <w:t>12</w:t>
            </w:r>
            <w:r w:rsidRPr="007C7E24">
              <w:rPr>
                <w:sz w:val="22"/>
                <w:szCs w:val="22"/>
                <w:lang w:eastAsia="en-US"/>
              </w:rPr>
              <w:t xml:space="preserve"> ECTS</w:t>
            </w:r>
          </w:p>
        </w:tc>
      </w:tr>
      <w:tr w:rsidR="00101F00" w:rsidRPr="00F02E5D" w:rsidTr="00101F00">
        <w:trPr>
          <w:trHeight w:val="718"/>
        </w:trPr>
        <w:tc>
          <w:tcPr>
            <w:tcW w:w="3942" w:type="dxa"/>
            <w:shd w:val="clear" w:color="auto" w:fill="auto"/>
          </w:tcPr>
          <w:p w:rsidR="00101F00" w:rsidRPr="00F02E5D" w:rsidRDefault="00101F00" w:rsidP="000F587A">
            <w:r w:rsidRPr="00F02E5D">
              <w:lastRenderedPageBreak/>
              <w:t>Nakład pracy związany z zajęciami wymagającymi bezpośredniego udziału nauczyciela akademickiego</w:t>
            </w:r>
          </w:p>
        </w:tc>
        <w:tc>
          <w:tcPr>
            <w:tcW w:w="5344" w:type="dxa"/>
            <w:shd w:val="clear" w:color="auto" w:fill="auto"/>
          </w:tcPr>
          <w:p w:rsidR="00923692" w:rsidRPr="00923692" w:rsidRDefault="00923692" w:rsidP="00923692">
            <w:pPr>
              <w:jc w:val="both"/>
              <w:rPr>
                <w:lang w:eastAsia="en-US"/>
              </w:rPr>
            </w:pPr>
            <w:r w:rsidRPr="007C7E24">
              <w:rPr>
                <w:sz w:val="22"/>
                <w:szCs w:val="22"/>
                <w:lang w:eastAsia="en-US"/>
              </w:rPr>
              <w:t xml:space="preserve">udział w wykładach – </w:t>
            </w:r>
            <w:r>
              <w:rPr>
                <w:sz w:val="22"/>
                <w:szCs w:val="22"/>
                <w:lang w:eastAsia="en-US"/>
              </w:rPr>
              <w:t>9</w:t>
            </w:r>
            <w:r w:rsidRPr="007C7E24">
              <w:rPr>
                <w:sz w:val="22"/>
                <w:szCs w:val="22"/>
                <w:lang w:eastAsia="en-US"/>
              </w:rPr>
              <w:t xml:space="preserve"> godz.; w ćwiczeniach –</w:t>
            </w:r>
            <w:r>
              <w:rPr>
                <w:sz w:val="22"/>
                <w:szCs w:val="22"/>
                <w:lang w:eastAsia="en-US"/>
              </w:rPr>
              <w:t xml:space="preserve"> 9</w:t>
            </w:r>
            <w:r w:rsidRPr="007C7E24">
              <w:rPr>
                <w:sz w:val="22"/>
                <w:szCs w:val="22"/>
                <w:lang w:eastAsia="en-US"/>
              </w:rPr>
              <w:t xml:space="preserve"> godz.; konsultacjach – </w:t>
            </w:r>
            <w:r>
              <w:rPr>
                <w:sz w:val="22"/>
                <w:szCs w:val="22"/>
                <w:lang w:eastAsia="en-US"/>
              </w:rPr>
              <w:t>3</w:t>
            </w:r>
            <w:r w:rsidRPr="007C7E24">
              <w:rPr>
                <w:sz w:val="22"/>
                <w:szCs w:val="22"/>
                <w:lang w:eastAsia="en-US"/>
              </w:rPr>
              <w:t xml:space="preserve"> godz.; egzaminie – </w:t>
            </w:r>
            <w:r>
              <w:rPr>
                <w:sz w:val="22"/>
                <w:szCs w:val="22"/>
                <w:lang w:eastAsia="en-US"/>
              </w:rPr>
              <w:t>1</w:t>
            </w:r>
            <w:r w:rsidRPr="007C7E24">
              <w:rPr>
                <w:sz w:val="22"/>
                <w:szCs w:val="22"/>
                <w:lang w:eastAsia="en-US"/>
              </w:rPr>
              <w:t xml:space="preserve"> godz.</w:t>
            </w:r>
          </w:p>
        </w:tc>
      </w:tr>
      <w:tr w:rsidR="00101F00" w:rsidRPr="00F02E5D" w:rsidTr="00101F00">
        <w:trPr>
          <w:trHeight w:val="718"/>
        </w:trPr>
        <w:tc>
          <w:tcPr>
            <w:tcW w:w="3942" w:type="dxa"/>
            <w:shd w:val="clear" w:color="auto" w:fill="auto"/>
          </w:tcPr>
          <w:p w:rsidR="00101F00" w:rsidRPr="00F02E5D" w:rsidRDefault="00101F00" w:rsidP="004C0125">
            <w:pPr>
              <w:jc w:val="both"/>
            </w:pPr>
            <w:r w:rsidRPr="00F02E5D">
              <w:t>Odniesieni</w:t>
            </w:r>
            <w:r w:rsidR="0092197E" w:rsidRPr="00F02E5D">
              <w:t xml:space="preserve">e modułowych efektów uczenia się do </w:t>
            </w:r>
            <w:r w:rsidRPr="00F02E5D">
              <w:t>kierunkowych</w:t>
            </w:r>
            <w:r w:rsidR="0092197E" w:rsidRPr="00F02E5D">
              <w:t xml:space="preserve"> efektów uczenia się</w:t>
            </w:r>
          </w:p>
        </w:tc>
        <w:tc>
          <w:tcPr>
            <w:tcW w:w="5344" w:type="dxa"/>
            <w:shd w:val="clear" w:color="auto" w:fill="auto"/>
          </w:tcPr>
          <w:p w:rsidR="000F587A" w:rsidRPr="009A77EE" w:rsidRDefault="000F587A" w:rsidP="004C0125">
            <w:pPr>
              <w:jc w:val="both"/>
              <w:rPr>
                <w:color w:val="000000" w:themeColor="text1"/>
              </w:rPr>
            </w:pPr>
            <w:r w:rsidRPr="009A77EE">
              <w:rPr>
                <w:color w:val="000000" w:themeColor="text1"/>
              </w:rPr>
              <w:t>W1</w:t>
            </w:r>
            <w:r w:rsidR="00121499" w:rsidRPr="009A77EE">
              <w:rPr>
                <w:color w:val="000000" w:themeColor="text1"/>
              </w:rPr>
              <w:t>, W2</w:t>
            </w:r>
            <w:r w:rsidRPr="009A77EE">
              <w:rPr>
                <w:color w:val="000000" w:themeColor="text1"/>
              </w:rPr>
              <w:t xml:space="preserve"> –</w:t>
            </w:r>
            <w:r w:rsidR="009A77EE" w:rsidRPr="009A77EE">
              <w:rPr>
                <w:color w:val="000000" w:themeColor="text1"/>
              </w:rPr>
              <w:t xml:space="preserve"> BZ1_W05</w:t>
            </w:r>
            <w:r w:rsidR="002D6D98">
              <w:rPr>
                <w:color w:val="000000" w:themeColor="text1"/>
              </w:rPr>
              <w:t xml:space="preserve"> i </w:t>
            </w:r>
            <w:r w:rsidR="002D6D98" w:rsidRPr="002D6D98">
              <w:rPr>
                <w:color w:val="000000" w:themeColor="text1"/>
              </w:rPr>
              <w:t>BZ1_W07</w:t>
            </w:r>
          </w:p>
          <w:p w:rsidR="00121499" w:rsidRPr="009A77EE" w:rsidRDefault="00121499" w:rsidP="004C0125">
            <w:pPr>
              <w:jc w:val="both"/>
              <w:rPr>
                <w:color w:val="000000" w:themeColor="text1"/>
              </w:rPr>
            </w:pPr>
            <w:r w:rsidRPr="009A77EE">
              <w:rPr>
                <w:color w:val="000000" w:themeColor="text1"/>
              </w:rPr>
              <w:t xml:space="preserve">U1, U2 – </w:t>
            </w:r>
            <w:r w:rsidR="009A77EE" w:rsidRPr="009A77EE">
              <w:rPr>
                <w:color w:val="000000" w:themeColor="text1"/>
              </w:rPr>
              <w:t>BZ1_U0</w:t>
            </w:r>
            <w:r w:rsidR="009A77EE">
              <w:rPr>
                <w:color w:val="000000" w:themeColor="text1"/>
              </w:rPr>
              <w:t xml:space="preserve">6 i </w:t>
            </w:r>
            <w:r w:rsidR="009A77EE" w:rsidRPr="009A77EE">
              <w:rPr>
                <w:color w:val="000000" w:themeColor="text1"/>
              </w:rPr>
              <w:t>BZ1_U03</w:t>
            </w:r>
          </w:p>
          <w:p w:rsidR="00121499" w:rsidRPr="009A77EE" w:rsidRDefault="00121499" w:rsidP="004C0125">
            <w:pPr>
              <w:jc w:val="both"/>
              <w:rPr>
                <w:color w:val="000000" w:themeColor="text1"/>
              </w:rPr>
            </w:pPr>
            <w:r w:rsidRPr="009A77EE">
              <w:rPr>
                <w:color w:val="000000" w:themeColor="text1"/>
              </w:rPr>
              <w:t xml:space="preserve">K1, K2 – </w:t>
            </w:r>
            <w:r w:rsidR="002D6D98" w:rsidRPr="002D6D98">
              <w:rPr>
                <w:color w:val="000000" w:themeColor="text1"/>
              </w:rPr>
              <w:t>BZ1_K03</w:t>
            </w:r>
          </w:p>
          <w:p w:rsidR="00121499" w:rsidRDefault="00121499" w:rsidP="004C0125">
            <w:pPr>
              <w:jc w:val="both"/>
              <w:rPr>
                <w:color w:val="FF0000"/>
              </w:rPr>
            </w:pPr>
          </w:p>
          <w:p w:rsidR="00121499" w:rsidRPr="002D6D98" w:rsidRDefault="00121499" w:rsidP="00121499">
            <w:pPr>
              <w:spacing w:line="256" w:lineRule="auto"/>
              <w:jc w:val="both"/>
              <w:rPr>
                <w:lang w:eastAsia="en-US"/>
              </w:rPr>
            </w:pPr>
            <w:r w:rsidRPr="002D6D98">
              <w:rPr>
                <w:lang w:eastAsia="en-US"/>
              </w:rPr>
              <w:t>Efekty inżynierskie:</w:t>
            </w:r>
          </w:p>
          <w:p w:rsidR="00121499" w:rsidRDefault="002D6D98" w:rsidP="004C0125">
            <w:pPr>
              <w:jc w:val="both"/>
              <w:rPr>
                <w:color w:val="000000" w:themeColor="text1"/>
              </w:rPr>
            </w:pPr>
            <w:r w:rsidRPr="002D6D98">
              <w:rPr>
                <w:color w:val="000000" w:themeColor="text1"/>
              </w:rPr>
              <w:t>BZ1_W05</w:t>
            </w:r>
          </w:p>
          <w:p w:rsidR="002D6D98" w:rsidRPr="002D6D98" w:rsidRDefault="002D6D98" w:rsidP="004C0125">
            <w:pPr>
              <w:jc w:val="both"/>
              <w:rPr>
                <w:color w:val="000000" w:themeColor="text1"/>
              </w:rPr>
            </w:pPr>
            <w:r w:rsidRPr="002D6D98">
              <w:rPr>
                <w:color w:val="000000" w:themeColor="text1"/>
              </w:rPr>
              <w:t>BZ1_U03</w:t>
            </w:r>
          </w:p>
        </w:tc>
      </w:tr>
    </w:tbl>
    <w:p w:rsidR="00F82B32" w:rsidRPr="001D5110" w:rsidRDefault="00F82B32"/>
    <w:sectPr w:rsidR="00F82B32" w:rsidRPr="001D5110"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504" w:rsidRDefault="00954504" w:rsidP="008D17BD">
      <w:r>
        <w:separator/>
      </w:r>
    </w:p>
  </w:endnote>
  <w:endnote w:type="continuationSeparator" w:id="0">
    <w:p w:rsidR="00954504" w:rsidRDefault="00954504" w:rsidP="008D1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2D17" w:rsidRDefault="00DC61D0">
            <w:pPr>
              <w:pStyle w:val="Stopka"/>
              <w:jc w:val="right"/>
            </w:pPr>
            <w:r w:rsidRPr="00992D17">
              <w:rPr>
                <w:bCs/>
              </w:rPr>
              <w:fldChar w:fldCharType="begin"/>
            </w:r>
            <w:r w:rsidR="00992D17" w:rsidRPr="00992D17">
              <w:rPr>
                <w:bCs/>
              </w:rPr>
              <w:instrText>PAGE</w:instrText>
            </w:r>
            <w:r w:rsidRPr="00992D17">
              <w:rPr>
                <w:bCs/>
              </w:rPr>
              <w:fldChar w:fldCharType="separate"/>
            </w:r>
            <w:r w:rsidR="00D22D60">
              <w:rPr>
                <w:bCs/>
                <w:noProof/>
              </w:rPr>
              <w:t>4</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D22D60">
              <w:rPr>
                <w:bCs/>
                <w:noProof/>
              </w:rPr>
              <w:t>4</w:t>
            </w:r>
            <w:r w:rsidRPr="00992D17">
              <w:rPr>
                <w:bCs/>
              </w:rPr>
              <w:fldChar w:fldCharType="end"/>
            </w:r>
          </w:p>
        </w:sdtContent>
      </w:sdt>
    </w:sdtContent>
  </w:sdt>
  <w:p w:rsidR="008D17BD" w:rsidRDefault="008D17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504" w:rsidRDefault="00954504" w:rsidP="008D17BD">
      <w:r>
        <w:separator/>
      </w:r>
    </w:p>
  </w:footnote>
  <w:footnote w:type="continuationSeparator" w:id="0">
    <w:p w:rsidR="00954504" w:rsidRDefault="00954504"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17" w:rsidRPr="00992D17" w:rsidRDefault="00DC2364" w:rsidP="00992D17">
    <w:pPr>
      <w:jc w:val="right"/>
      <w:rPr>
        <w:b/>
        <w:sz w:val="22"/>
        <w:szCs w:val="22"/>
      </w:rPr>
    </w:pPr>
    <w:r>
      <w:rPr>
        <w:b/>
        <w:sz w:val="22"/>
        <w:szCs w:val="22"/>
      </w:rPr>
      <w:t>Załącznik  do Uchwały nr 59</w:t>
    </w:r>
    <w:r w:rsidR="00992D17" w:rsidRPr="00992D17">
      <w:rPr>
        <w:b/>
        <w:sz w:val="22"/>
        <w:szCs w:val="22"/>
      </w:rPr>
      <w:t>/2020-2021</w:t>
    </w:r>
  </w:p>
  <w:p w:rsidR="00992D17" w:rsidRPr="00992D17" w:rsidRDefault="00992D17" w:rsidP="00992D17">
    <w:pPr>
      <w:jc w:val="right"/>
      <w:rPr>
        <w:b/>
        <w:sz w:val="22"/>
        <w:szCs w:val="22"/>
      </w:rPr>
    </w:pPr>
    <w:r w:rsidRPr="00992D17">
      <w:rPr>
        <w:b/>
        <w:sz w:val="22"/>
        <w:szCs w:val="22"/>
      </w:rPr>
      <w:t xml:space="preserve">                                                            Senatu UP w Lublinie z dnia 25 czerwca 2021 r.</w:t>
    </w:r>
  </w:p>
  <w:p w:rsidR="00992D17" w:rsidRPr="00F02E5D" w:rsidRDefault="00992D17" w:rsidP="00992D17">
    <w:pPr>
      <w:tabs>
        <w:tab w:val="left" w:pos="5205"/>
      </w:tabs>
      <w:spacing w:after="120"/>
      <w:rPr>
        <w:bCs/>
      </w:rPr>
    </w:pPr>
    <w:r>
      <w:rPr>
        <w:bCs/>
      </w:rPr>
      <w:tab/>
    </w:r>
  </w:p>
  <w:p w:rsidR="00992D17" w:rsidRDefault="00992D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04E9"/>
    <w:multiLevelType w:val="hybridMultilevel"/>
    <w:tmpl w:val="36B2B990"/>
    <w:lvl w:ilvl="0" w:tplc="BCE88E22">
      <w:start w:val="1"/>
      <w:numFmt w:val="bullet"/>
      <w:lvlText w:val=""/>
      <w:lvlJc w:val="left"/>
      <w:pPr>
        <w:ind w:left="-218" w:hanging="360"/>
      </w:pPr>
      <w:rPr>
        <w:rFonts w:ascii="Symbol" w:hAnsi="Symbol" w:hint="default"/>
        <w:i w:val="0"/>
        <w:color w:val="auto"/>
        <w:sz w:val="22"/>
        <w:szCs w:val="22"/>
      </w:rPr>
    </w:lvl>
    <w:lvl w:ilvl="1" w:tplc="04150019">
      <w:start w:val="1"/>
      <w:numFmt w:val="lowerLetter"/>
      <w:lvlText w:val="%2."/>
      <w:lvlJc w:val="left"/>
      <w:pPr>
        <w:ind w:left="502" w:hanging="360"/>
      </w:pPr>
    </w:lvl>
    <w:lvl w:ilvl="2" w:tplc="0415001B">
      <w:start w:val="1"/>
      <w:numFmt w:val="lowerRoman"/>
      <w:lvlText w:val="%3."/>
      <w:lvlJc w:val="right"/>
      <w:pPr>
        <w:ind w:left="1222" w:hanging="180"/>
      </w:pPr>
    </w:lvl>
    <w:lvl w:ilvl="3" w:tplc="0415000F">
      <w:start w:val="1"/>
      <w:numFmt w:val="decimal"/>
      <w:lvlText w:val="%4."/>
      <w:lvlJc w:val="left"/>
      <w:pPr>
        <w:ind w:left="1942" w:hanging="360"/>
      </w:pPr>
    </w:lvl>
    <w:lvl w:ilvl="4" w:tplc="04150019">
      <w:start w:val="1"/>
      <w:numFmt w:val="lowerLetter"/>
      <w:lvlText w:val="%5."/>
      <w:lvlJc w:val="left"/>
      <w:pPr>
        <w:ind w:left="2662" w:hanging="360"/>
      </w:pPr>
    </w:lvl>
    <w:lvl w:ilvl="5" w:tplc="0415001B">
      <w:start w:val="1"/>
      <w:numFmt w:val="lowerRoman"/>
      <w:lvlText w:val="%6."/>
      <w:lvlJc w:val="right"/>
      <w:pPr>
        <w:ind w:left="3382" w:hanging="180"/>
      </w:pPr>
    </w:lvl>
    <w:lvl w:ilvl="6" w:tplc="0415000F">
      <w:start w:val="1"/>
      <w:numFmt w:val="decimal"/>
      <w:lvlText w:val="%7."/>
      <w:lvlJc w:val="left"/>
      <w:pPr>
        <w:ind w:left="4102" w:hanging="360"/>
      </w:pPr>
    </w:lvl>
    <w:lvl w:ilvl="7" w:tplc="04150019">
      <w:start w:val="1"/>
      <w:numFmt w:val="lowerLetter"/>
      <w:lvlText w:val="%8."/>
      <w:lvlJc w:val="left"/>
      <w:pPr>
        <w:ind w:left="4822" w:hanging="360"/>
      </w:pPr>
    </w:lvl>
    <w:lvl w:ilvl="8" w:tplc="0415001B">
      <w:start w:val="1"/>
      <w:numFmt w:val="lowerRoman"/>
      <w:lvlText w:val="%9."/>
      <w:lvlJc w:val="right"/>
      <w:pPr>
        <w:ind w:left="5542" w:hanging="180"/>
      </w:pPr>
    </w:lvl>
  </w:abstractNum>
  <w:abstractNum w:abstractNumId="1">
    <w:nsid w:val="3D1C27F7"/>
    <w:multiLevelType w:val="hybridMultilevel"/>
    <w:tmpl w:val="17441128"/>
    <w:lvl w:ilvl="0" w:tplc="8FD2D2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1883ADA"/>
    <w:multiLevelType w:val="hybridMultilevel"/>
    <w:tmpl w:val="9A82E7F6"/>
    <w:lvl w:ilvl="0" w:tplc="74DEF1A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762D7B04"/>
    <w:multiLevelType w:val="hybridMultilevel"/>
    <w:tmpl w:val="77EAE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B9E3882"/>
    <w:multiLevelType w:val="hybridMultilevel"/>
    <w:tmpl w:val="59E2BA0A"/>
    <w:lvl w:ilvl="0" w:tplc="C33694D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23A99"/>
    <w:rsid w:val="00023A99"/>
    <w:rsid w:val="000E6A33"/>
    <w:rsid w:val="000F587A"/>
    <w:rsid w:val="00101F00"/>
    <w:rsid w:val="00121499"/>
    <w:rsid w:val="001266E4"/>
    <w:rsid w:val="00156BF6"/>
    <w:rsid w:val="001D5110"/>
    <w:rsid w:val="00206860"/>
    <w:rsid w:val="00207270"/>
    <w:rsid w:val="002B23CE"/>
    <w:rsid w:val="002D6D98"/>
    <w:rsid w:val="002F232A"/>
    <w:rsid w:val="00312718"/>
    <w:rsid w:val="003177A8"/>
    <w:rsid w:val="003211EA"/>
    <w:rsid w:val="0032739E"/>
    <w:rsid w:val="003853C3"/>
    <w:rsid w:val="003B32BF"/>
    <w:rsid w:val="003C1969"/>
    <w:rsid w:val="00457679"/>
    <w:rsid w:val="00500899"/>
    <w:rsid w:val="0057184E"/>
    <w:rsid w:val="00574E9F"/>
    <w:rsid w:val="00645090"/>
    <w:rsid w:val="006742BC"/>
    <w:rsid w:val="006748C4"/>
    <w:rsid w:val="006F3573"/>
    <w:rsid w:val="00761710"/>
    <w:rsid w:val="00775CD3"/>
    <w:rsid w:val="007C2C4E"/>
    <w:rsid w:val="007D1469"/>
    <w:rsid w:val="007E045C"/>
    <w:rsid w:val="007E2420"/>
    <w:rsid w:val="00837C29"/>
    <w:rsid w:val="0089357C"/>
    <w:rsid w:val="008D17BD"/>
    <w:rsid w:val="0092197E"/>
    <w:rsid w:val="00923692"/>
    <w:rsid w:val="00954504"/>
    <w:rsid w:val="00980EBB"/>
    <w:rsid w:val="00991350"/>
    <w:rsid w:val="00992D17"/>
    <w:rsid w:val="009A77EE"/>
    <w:rsid w:val="009C2572"/>
    <w:rsid w:val="009C564E"/>
    <w:rsid w:val="009E49CA"/>
    <w:rsid w:val="00A54DA3"/>
    <w:rsid w:val="00A6673A"/>
    <w:rsid w:val="00B400C0"/>
    <w:rsid w:val="00B41E0D"/>
    <w:rsid w:val="00B85B9A"/>
    <w:rsid w:val="00CD423D"/>
    <w:rsid w:val="00D22BB9"/>
    <w:rsid w:val="00D22D60"/>
    <w:rsid w:val="00D2747A"/>
    <w:rsid w:val="00DA0509"/>
    <w:rsid w:val="00DC2364"/>
    <w:rsid w:val="00DC61D0"/>
    <w:rsid w:val="00E54369"/>
    <w:rsid w:val="00EC3848"/>
    <w:rsid w:val="00EF4F14"/>
    <w:rsid w:val="00F02DA4"/>
    <w:rsid w:val="00F02E5D"/>
    <w:rsid w:val="00F03606"/>
    <w:rsid w:val="00F82B32"/>
    <w:rsid w:val="00FD418B"/>
    <w:rsid w:val="00FD50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045C"/>
    <w:pPr>
      <w:ind w:left="720"/>
      <w:contextualSpacing/>
    </w:pPr>
  </w:style>
  <w:style w:type="paragraph" w:customStyle="1" w:styleId="Default">
    <w:name w:val="Default"/>
    <w:rsid w:val="00B41E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2</cp:revision>
  <cp:lastPrinted>2021-07-01T08:34:00Z</cp:lastPrinted>
  <dcterms:created xsi:type="dcterms:W3CDTF">2023-09-30T07:40:00Z</dcterms:created>
  <dcterms:modified xsi:type="dcterms:W3CDTF">2023-09-30T07:40:00Z</dcterms:modified>
</cp:coreProperties>
</file>