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0A37AA" w:rsidRDefault="00CF4691" w:rsidP="00992D17">
      <w:pPr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B400C0" w:rsidRPr="000A37AA">
        <w:rPr>
          <w:sz w:val="20"/>
          <w:szCs w:val="20"/>
        </w:rPr>
        <w:t xml:space="preserve">                                                        </w:t>
      </w:r>
    </w:p>
    <w:p w:rsidR="00023A99" w:rsidRDefault="00B400C0" w:rsidP="00023A99">
      <w:pPr>
        <w:rPr>
          <w:b/>
          <w:sz w:val="20"/>
          <w:szCs w:val="20"/>
        </w:rPr>
      </w:pPr>
      <w:r w:rsidRPr="000A37AA">
        <w:rPr>
          <w:b/>
          <w:sz w:val="20"/>
          <w:szCs w:val="20"/>
        </w:rPr>
        <w:t>Karta opisu zajęć (s</w:t>
      </w:r>
      <w:r w:rsidR="0092197E" w:rsidRPr="000A37AA">
        <w:rPr>
          <w:b/>
          <w:sz w:val="20"/>
          <w:szCs w:val="20"/>
        </w:rPr>
        <w:t>ylabus)</w:t>
      </w:r>
    </w:p>
    <w:p w:rsidR="00FE04DE" w:rsidRPr="000A37AA" w:rsidRDefault="00FE04DE" w:rsidP="00023A99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E61AA6" w:rsidRPr="0099746A" w:rsidTr="00E61AA6">
        <w:tc>
          <w:tcPr>
            <w:tcW w:w="3942" w:type="dxa"/>
            <w:shd w:val="clear" w:color="auto" w:fill="auto"/>
            <w:vAlign w:val="center"/>
          </w:tcPr>
          <w:p w:rsidR="00E61AA6" w:rsidRPr="0099746A" w:rsidRDefault="00E61AA6" w:rsidP="0052520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 xml:space="preserve">Nazwa kierunku studiów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99746A" w:rsidRDefault="003121FB" w:rsidP="00525208">
            <w:pPr>
              <w:rPr>
                <w:sz w:val="22"/>
                <w:szCs w:val="22"/>
              </w:rPr>
            </w:pPr>
            <w:proofErr w:type="spellStart"/>
            <w:r w:rsidRPr="0099746A">
              <w:rPr>
                <w:sz w:val="22"/>
                <w:szCs w:val="22"/>
              </w:rPr>
              <w:t>Forensics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in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the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bioeconomy</w:t>
            </w:r>
            <w:proofErr w:type="spellEnd"/>
          </w:p>
        </w:tc>
      </w:tr>
      <w:tr w:rsidR="00E61AA6" w:rsidRPr="0099746A" w:rsidTr="00E61AA6">
        <w:tc>
          <w:tcPr>
            <w:tcW w:w="3942" w:type="dxa"/>
            <w:shd w:val="clear" w:color="auto" w:fill="auto"/>
            <w:vAlign w:val="center"/>
          </w:tcPr>
          <w:p w:rsidR="00E61AA6" w:rsidRPr="0099746A" w:rsidRDefault="00E61AA6" w:rsidP="0052520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99746A" w:rsidRDefault="00230D6E" w:rsidP="00525208">
            <w:pPr>
              <w:rPr>
                <w:sz w:val="22"/>
                <w:szCs w:val="22"/>
              </w:rPr>
            </w:pPr>
            <w:proofErr w:type="spellStart"/>
            <w:r w:rsidRPr="0099746A">
              <w:rPr>
                <w:sz w:val="22"/>
                <w:szCs w:val="22"/>
              </w:rPr>
              <w:t>Invertebrates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in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forensic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diagnostic</w:t>
            </w:r>
            <w:proofErr w:type="spellEnd"/>
          </w:p>
        </w:tc>
      </w:tr>
      <w:tr w:rsidR="00E61AA6" w:rsidRPr="0099746A" w:rsidTr="00E61AA6">
        <w:tc>
          <w:tcPr>
            <w:tcW w:w="3942" w:type="dxa"/>
            <w:shd w:val="clear" w:color="auto" w:fill="auto"/>
            <w:vAlign w:val="center"/>
          </w:tcPr>
          <w:p w:rsidR="00E61AA6" w:rsidRPr="0099746A" w:rsidRDefault="00E61AA6" w:rsidP="0052520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99746A" w:rsidRDefault="003121FB" w:rsidP="0052520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English</w:t>
            </w:r>
          </w:p>
        </w:tc>
      </w:tr>
      <w:tr w:rsidR="00E61AA6" w:rsidRPr="0099746A" w:rsidTr="00E61AA6">
        <w:tc>
          <w:tcPr>
            <w:tcW w:w="3942" w:type="dxa"/>
            <w:shd w:val="clear" w:color="auto" w:fill="auto"/>
            <w:vAlign w:val="center"/>
          </w:tcPr>
          <w:p w:rsidR="00E61AA6" w:rsidRPr="0099746A" w:rsidRDefault="00E61AA6" w:rsidP="00DD4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E61AA6" w:rsidRPr="0099746A" w:rsidRDefault="002E1FC8" w:rsidP="002E1FC8">
            <w:pPr>
              <w:rPr>
                <w:sz w:val="22"/>
                <w:szCs w:val="22"/>
              </w:rPr>
            </w:pPr>
            <w:proofErr w:type="spellStart"/>
            <w:r w:rsidRPr="0099746A">
              <w:rPr>
                <w:sz w:val="22"/>
                <w:szCs w:val="22"/>
              </w:rPr>
              <w:t>obligatory</w:t>
            </w:r>
            <w:proofErr w:type="spellEnd"/>
            <w:r w:rsidR="00E61AA6" w:rsidRPr="0099746A">
              <w:rPr>
                <w:sz w:val="22"/>
                <w:szCs w:val="22"/>
              </w:rPr>
              <w:t>/</w:t>
            </w:r>
            <w:proofErr w:type="spellStart"/>
            <w:r w:rsidR="00E61AA6" w:rsidRPr="0099746A">
              <w:rPr>
                <w:sz w:val="22"/>
                <w:szCs w:val="22"/>
              </w:rPr>
              <w:t>fa</w:t>
            </w:r>
            <w:r w:rsidRPr="0099746A">
              <w:rPr>
                <w:sz w:val="22"/>
                <w:szCs w:val="22"/>
              </w:rPr>
              <w:t>cultative</w:t>
            </w:r>
            <w:proofErr w:type="spellEnd"/>
          </w:p>
        </w:tc>
      </w:tr>
      <w:tr w:rsidR="002E1FC8" w:rsidRPr="0099746A" w:rsidTr="00E61AA6">
        <w:tc>
          <w:tcPr>
            <w:tcW w:w="3942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 xml:space="preserve">first </w:t>
            </w:r>
            <w:proofErr w:type="spellStart"/>
            <w:r w:rsidRPr="0099746A">
              <w:rPr>
                <w:sz w:val="22"/>
                <w:szCs w:val="22"/>
              </w:rPr>
              <w:t>degree</w:t>
            </w:r>
            <w:bookmarkStart w:id="0" w:name="_GoBack"/>
            <w:bookmarkEnd w:id="0"/>
            <w:proofErr w:type="spellEnd"/>
          </w:p>
        </w:tc>
      </w:tr>
      <w:tr w:rsidR="002E1FC8" w:rsidRPr="0099746A" w:rsidTr="00E61AA6">
        <w:tc>
          <w:tcPr>
            <w:tcW w:w="3942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  <w:proofErr w:type="spellStart"/>
            <w:r w:rsidRPr="0099746A">
              <w:rPr>
                <w:sz w:val="22"/>
                <w:szCs w:val="22"/>
              </w:rPr>
              <w:t>stationary</w:t>
            </w:r>
            <w:proofErr w:type="spellEnd"/>
          </w:p>
        </w:tc>
      </w:tr>
      <w:tr w:rsidR="002E1FC8" w:rsidRPr="0099746A" w:rsidTr="00E61AA6">
        <w:tc>
          <w:tcPr>
            <w:tcW w:w="3942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I</w:t>
            </w:r>
          </w:p>
        </w:tc>
      </w:tr>
      <w:tr w:rsidR="002E1FC8" w:rsidRPr="0099746A" w:rsidTr="00E61AA6">
        <w:tc>
          <w:tcPr>
            <w:tcW w:w="3942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2</w:t>
            </w:r>
          </w:p>
        </w:tc>
      </w:tr>
      <w:tr w:rsidR="002E1FC8" w:rsidRPr="0099746A" w:rsidTr="00E61AA6">
        <w:tc>
          <w:tcPr>
            <w:tcW w:w="3942" w:type="dxa"/>
            <w:shd w:val="clear" w:color="auto" w:fill="auto"/>
            <w:vAlign w:val="center"/>
          </w:tcPr>
          <w:p w:rsidR="002E1FC8" w:rsidRPr="0099746A" w:rsidRDefault="002E1FC8" w:rsidP="002E1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99746A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2E1FC8" w:rsidRPr="0099746A" w:rsidRDefault="00DD47B0" w:rsidP="002E1FC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1 (0,76/0,24)</w:t>
            </w:r>
          </w:p>
        </w:tc>
      </w:tr>
      <w:tr w:rsidR="002E1FC8" w:rsidRPr="0099746A" w:rsidTr="00E61AA6">
        <w:tc>
          <w:tcPr>
            <w:tcW w:w="3942" w:type="dxa"/>
            <w:shd w:val="clear" w:color="auto" w:fill="auto"/>
            <w:vAlign w:val="center"/>
          </w:tcPr>
          <w:p w:rsidR="002E1FC8" w:rsidRPr="0099746A" w:rsidRDefault="002E1FC8" w:rsidP="002E1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</w:p>
        </w:tc>
      </w:tr>
      <w:tr w:rsidR="002E1FC8" w:rsidRPr="0099746A" w:rsidTr="00E61AA6">
        <w:tc>
          <w:tcPr>
            <w:tcW w:w="3942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Jednostka oferująca moduł</w:t>
            </w:r>
          </w:p>
          <w:p w:rsidR="002E1FC8" w:rsidRPr="0099746A" w:rsidRDefault="002E1FC8" w:rsidP="002E1FC8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 xml:space="preserve">Department of </w:t>
            </w:r>
            <w:proofErr w:type="spellStart"/>
            <w:r w:rsidRPr="0099746A">
              <w:rPr>
                <w:sz w:val="22"/>
                <w:szCs w:val="22"/>
              </w:rPr>
              <w:t>Zoology</w:t>
            </w:r>
            <w:proofErr w:type="spellEnd"/>
            <w:r w:rsidRPr="0099746A">
              <w:rPr>
                <w:sz w:val="22"/>
                <w:szCs w:val="22"/>
              </w:rPr>
              <w:t xml:space="preserve"> and Animal </w:t>
            </w:r>
            <w:proofErr w:type="spellStart"/>
            <w:r w:rsidRPr="0099746A">
              <w:rPr>
                <w:sz w:val="22"/>
                <w:szCs w:val="22"/>
              </w:rPr>
              <w:t>Ecology</w:t>
            </w:r>
            <w:proofErr w:type="spellEnd"/>
          </w:p>
        </w:tc>
      </w:tr>
      <w:tr w:rsidR="002E1FC8" w:rsidRPr="0099746A" w:rsidTr="00E61AA6">
        <w:tc>
          <w:tcPr>
            <w:tcW w:w="3942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Cel modułu</w:t>
            </w:r>
          </w:p>
          <w:p w:rsidR="002E1FC8" w:rsidRPr="0099746A" w:rsidRDefault="002E1FC8" w:rsidP="002E1FC8">
            <w:pPr>
              <w:rPr>
                <w:sz w:val="22"/>
                <w:szCs w:val="22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2E1FC8" w:rsidRPr="0099746A" w:rsidRDefault="002E1FC8" w:rsidP="002E1F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9746A">
              <w:rPr>
                <w:sz w:val="22"/>
                <w:szCs w:val="22"/>
              </w:rPr>
              <w:t>Knowledge</w:t>
            </w:r>
            <w:proofErr w:type="spellEnd"/>
            <w:r w:rsidRPr="0099746A">
              <w:rPr>
                <w:sz w:val="22"/>
                <w:szCs w:val="22"/>
              </w:rPr>
              <w:t xml:space="preserve"> of </w:t>
            </w:r>
            <w:proofErr w:type="spellStart"/>
            <w:r w:rsidRPr="0099746A">
              <w:rPr>
                <w:sz w:val="22"/>
                <w:szCs w:val="22"/>
              </w:rPr>
              <w:t>the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use</w:t>
            </w:r>
            <w:proofErr w:type="spellEnd"/>
            <w:r w:rsidRPr="0099746A">
              <w:rPr>
                <w:sz w:val="22"/>
                <w:szCs w:val="22"/>
              </w:rPr>
              <w:t xml:space="preserve"> of </w:t>
            </w:r>
            <w:proofErr w:type="spellStart"/>
            <w:r w:rsidRPr="0099746A">
              <w:rPr>
                <w:sz w:val="22"/>
                <w:szCs w:val="22"/>
              </w:rPr>
              <w:t>invertebrates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in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forensic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medicine</w:t>
            </w:r>
            <w:proofErr w:type="spellEnd"/>
            <w:r w:rsidRPr="0099746A">
              <w:rPr>
                <w:sz w:val="22"/>
                <w:szCs w:val="22"/>
              </w:rPr>
              <w:t xml:space="preserve">, </w:t>
            </w:r>
            <w:proofErr w:type="spellStart"/>
            <w:r w:rsidRPr="0099746A">
              <w:rPr>
                <w:sz w:val="22"/>
                <w:szCs w:val="22"/>
              </w:rPr>
              <w:t>the</w:t>
            </w:r>
            <w:proofErr w:type="spellEnd"/>
            <w:r w:rsidRPr="0099746A">
              <w:rPr>
                <w:sz w:val="22"/>
                <w:szCs w:val="22"/>
              </w:rPr>
              <w:t xml:space="preserve"> role of </w:t>
            </w:r>
            <w:proofErr w:type="spellStart"/>
            <w:r w:rsidRPr="0099746A">
              <w:rPr>
                <w:sz w:val="22"/>
                <w:szCs w:val="22"/>
              </w:rPr>
              <w:t>invertebrates</w:t>
            </w:r>
            <w:proofErr w:type="spellEnd"/>
            <w:r w:rsidRPr="0099746A">
              <w:rPr>
                <w:sz w:val="22"/>
                <w:szCs w:val="22"/>
              </w:rPr>
              <w:t xml:space="preserve"> as </w:t>
            </w:r>
            <w:proofErr w:type="spellStart"/>
            <w:r w:rsidRPr="0099746A">
              <w:rPr>
                <w:sz w:val="22"/>
                <w:szCs w:val="22"/>
              </w:rPr>
              <w:t>reducers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in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the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succession</w:t>
            </w:r>
            <w:proofErr w:type="spellEnd"/>
            <w:r w:rsidRPr="0099746A">
              <w:rPr>
                <w:sz w:val="22"/>
                <w:szCs w:val="22"/>
              </w:rPr>
              <w:t xml:space="preserve"> of </w:t>
            </w:r>
            <w:proofErr w:type="spellStart"/>
            <w:r w:rsidRPr="0099746A">
              <w:rPr>
                <w:sz w:val="22"/>
                <w:szCs w:val="22"/>
              </w:rPr>
              <w:t>cadavers</w:t>
            </w:r>
            <w:proofErr w:type="spellEnd"/>
            <w:r w:rsidRPr="0099746A">
              <w:rPr>
                <w:sz w:val="22"/>
                <w:szCs w:val="22"/>
              </w:rPr>
              <w:t xml:space="preserve">, </w:t>
            </w:r>
            <w:proofErr w:type="spellStart"/>
            <w:r w:rsidRPr="0099746A">
              <w:rPr>
                <w:sz w:val="22"/>
                <w:szCs w:val="22"/>
              </w:rPr>
              <w:t>the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importance</w:t>
            </w:r>
            <w:proofErr w:type="spellEnd"/>
            <w:r w:rsidRPr="0099746A">
              <w:rPr>
                <w:sz w:val="22"/>
                <w:szCs w:val="22"/>
              </w:rPr>
              <w:t xml:space="preserve"> of </w:t>
            </w:r>
            <w:proofErr w:type="spellStart"/>
            <w:r w:rsidRPr="0099746A">
              <w:rPr>
                <w:sz w:val="22"/>
                <w:szCs w:val="22"/>
              </w:rPr>
              <w:t>parasitic</w:t>
            </w:r>
            <w:proofErr w:type="spellEnd"/>
            <w:r w:rsidRPr="0099746A">
              <w:rPr>
                <w:sz w:val="22"/>
                <w:szCs w:val="22"/>
              </w:rPr>
              <w:t xml:space="preserve"> entomofauna for </w:t>
            </w:r>
            <w:proofErr w:type="spellStart"/>
            <w:r w:rsidRPr="0099746A">
              <w:rPr>
                <w:sz w:val="22"/>
                <w:szCs w:val="22"/>
              </w:rPr>
              <w:t>estimating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the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date</w:t>
            </w:r>
            <w:proofErr w:type="spellEnd"/>
            <w:r w:rsidRPr="0099746A">
              <w:rPr>
                <w:sz w:val="22"/>
                <w:szCs w:val="22"/>
              </w:rPr>
              <w:t xml:space="preserve"> of </w:t>
            </w:r>
            <w:proofErr w:type="spellStart"/>
            <w:r w:rsidRPr="0099746A">
              <w:rPr>
                <w:sz w:val="22"/>
                <w:szCs w:val="22"/>
              </w:rPr>
              <w:t>death</w:t>
            </w:r>
            <w:proofErr w:type="spellEnd"/>
          </w:p>
        </w:tc>
      </w:tr>
      <w:tr w:rsidR="002E1FC8" w:rsidRPr="0099746A" w:rsidTr="00E61AA6">
        <w:tc>
          <w:tcPr>
            <w:tcW w:w="3942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E1FC8" w:rsidRPr="0099746A" w:rsidRDefault="002E1FC8" w:rsidP="002E1FC8">
            <w:pPr>
              <w:jc w:val="both"/>
              <w:rPr>
                <w:sz w:val="22"/>
                <w:szCs w:val="22"/>
              </w:rPr>
            </w:pPr>
            <w:proofErr w:type="spellStart"/>
            <w:r w:rsidRPr="0099746A">
              <w:rPr>
                <w:sz w:val="22"/>
                <w:szCs w:val="22"/>
              </w:rPr>
              <w:t>Knowledge</w:t>
            </w:r>
            <w:proofErr w:type="spellEnd"/>
            <w:r w:rsidRPr="0099746A">
              <w:rPr>
                <w:sz w:val="22"/>
                <w:szCs w:val="22"/>
              </w:rPr>
              <w:t xml:space="preserve"> of </w:t>
            </w:r>
            <w:proofErr w:type="spellStart"/>
            <w:r w:rsidRPr="0099746A">
              <w:rPr>
                <w:sz w:val="22"/>
                <w:szCs w:val="22"/>
              </w:rPr>
              <w:t>basic</w:t>
            </w:r>
            <w:proofErr w:type="spellEnd"/>
            <w:r w:rsidRPr="0099746A">
              <w:rPr>
                <w:sz w:val="22"/>
                <w:szCs w:val="22"/>
              </w:rPr>
              <w:t xml:space="preserve"> general and </w:t>
            </w:r>
            <w:proofErr w:type="spellStart"/>
            <w:r w:rsidRPr="0099746A">
              <w:rPr>
                <w:sz w:val="22"/>
                <w:szCs w:val="22"/>
              </w:rPr>
              <w:t>systematic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zoology</w:t>
            </w:r>
            <w:proofErr w:type="spellEnd"/>
            <w:r w:rsidRPr="0099746A">
              <w:rPr>
                <w:sz w:val="22"/>
                <w:szCs w:val="22"/>
              </w:rPr>
              <w:t xml:space="preserve">, and </w:t>
            </w:r>
            <w:proofErr w:type="spellStart"/>
            <w:r w:rsidRPr="0099746A">
              <w:rPr>
                <w:sz w:val="22"/>
                <w:szCs w:val="22"/>
              </w:rPr>
              <w:t>the</w:t>
            </w:r>
            <w:proofErr w:type="spellEnd"/>
            <w:r w:rsidRPr="0099746A">
              <w:rPr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sz w:val="22"/>
                <w:szCs w:val="22"/>
              </w:rPr>
              <w:t>basics</w:t>
            </w:r>
            <w:proofErr w:type="spellEnd"/>
            <w:r w:rsidRPr="0099746A">
              <w:rPr>
                <w:sz w:val="22"/>
                <w:szCs w:val="22"/>
              </w:rPr>
              <w:t xml:space="preserve"> of </w:t>
            </w:r>
            <w:proofErr w:type="spellStart"/>
            <w:r w:rsidRPr="0099746A">
              <w:rPr>
                <w:sz w:val="22"/>
                <w:szCs w:val="22"/>
              </w:rPr>
              <w:t>parasitology</w:t>
            </w:r>
            <w:proofErr w:type="spellEnd"/>
            <w:r w:rsidRPr="0099746A">
              <w:rPr>
                <w:sz w:val="22"/>
                <w:szCs w:val="22"/>
              </w:rPr>
              <w:t xml:space="preserve">, </w:t>
            </w:r>
            <w:proofErr w:type="spellStart"/>
            <w:r w:rsidRPr="0099746A">
              <w:rPr>
                <w:sz w:val="22"/>
                <w:szCs w:val="22"/>
              </w:rPr>
              <w:t>biochemistry</w:t>
            </w:r>
            <w:proofErr w:type="spellEnd"/>
            <w:r w:rsidRPr="0099746A">
              <w:rPr>
                <w:sz w:val="22"/>
                <w:szCs w:val="22"/>
              </w:rPr>
              <w:t xml:space="preserve"> and </w:t>
            </w:r>
            <w:proofErr w:type="spellStart"/>
            <w:r w:rsidRPr="0099746A">
              <w:rPr>
                <w:sz w:val="22"/>
                <w:szCs w:val="22"/>
              </w:rPr>
              <w:t>ecology</w:t>
            </w:r>
            <w:proofErr w:type="spellEnd"/>
            <w:r w:rsidRPr="0099746A">
              <w:rPr>
                <w:sz w:val="22"/>
                <w:szCs w:val="22"/>
              </w:rPr>
              <w:t>.</w:t>
            </w:r>
          </w:p>
        </w:tc>
      </w:tr>
      <w:tr w:rsidR="002E1FC8" w:rsidRPr="0099746A" w:rsidTr="00E61AA6">
        <w:tc>
          <w:tcPr>
            <w:tcW w:w="3942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DD47B0" w:rsidRPr="0099746A" w:rsidRDefault="00DD47B0" w:rsidP="00DD47B0">
            <w:pPr>
              <w:rPr>
                <w:color w:val="000000" w:themeColor="text1"/>
                <w:sz w:val="22"/>
                <w:szCs w:val="22"/>
              </w:rPr>
            </w:pPr>
            <w:r w:rsidRPr="0099746A">
              <w:rPr>
                <w:color w:val="000000" w:themeColor="text1"/>
                <w:sz w:val="22"/>
                <w:szCs w:val="22"/>
              </w:rPr>
              <w:t xml:space="preserve">Basic </w:t>
            </w:r>
            <w:proofErr w:type="spellStart"/>
            <w:r w:rsidRPr="0099746A">
              <w:rPr>
                <w:color w:val="000000" w:themeColor="text1"/>
                <w:sz w:val="22"/>
                <w:szCs w:val="22"/>
              </w:rPr>
              <w:t>literature</w:t>
            </w:r>
            <w:proofErr w:type="spellEnd"/>
            <w:r w:rsidRPr="0099746A">
              <w:rPr>
                <w:color w:val="000000" w:themeColor="text1"/>
                <w:sz w:val="22"/>
                <w:szCs w:val="22"/>
              </w:rPr>
              <w:t xml:space="preserve">: </w:t>
            </w:r>
          </w:p>
          <w:p w:rsidR="00DD47B0" w:rsidRPr="0099746A" w:rsidRDefault="00DD47B0" w:rsidP="00DD47B0">
            <w:pPr>
              <w:pStyle w:val="Bezodstpw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9746A">
              <w:rPr>
                <w:rFonts w:ascii="Times New Roman" w:hAnsi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Dadour</w:t>
            </w:r>
            <w:proofErr w:type="spellEnd"/>
            <w:r w:rsidRPr="0099746A">
              <w:rPr>
                <w:rFonts w:ascii="Times New Roman" w:hAnsi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I.R.</w:t>
            </w:r>
            <w:r w:rsidRPr="0099746A">
              <w:rPr>
                <w:rFonts w:ascii="Times New Roman" w:hAnsi="Times New Roman"/>
                <w:color w:val="000000" w:themeColor="text1"/>
              </w:rPr>
              <w:t xml:space="preserve">, Harvey M.L.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The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 role of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invertebrates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terrestrial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decomposition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forensic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applications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. In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book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Soil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Analysis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Forensic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Taphonomy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. Chemical and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Biological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Effects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 of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Buried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Human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9746A">
              <w:rPr>
                <w:rFonts w:ascii="Times New Roman" w:hAnsi="Times New Roman"/>
                <w:color w:val="000000" w:themeColor="text1"/>
              </w:rPr>
              <w:t>Remains</w:t>
            </w:r>
            <w:proofErr w:type="spellEnd"/>
            <w:r w:rsidRPr="0099746A">
              <w:rPr>
                <w:rFonts w:ascii="Times New Roman" w:hAnsi="Times New Roman"/>
                <w:color w:val="000000" w:themeColor="text1"/>
              </w:rPr>
              <w:t xml:space="preserve"> (pp.109-122). 2008.</w:t>
            </w:r>
          </w:p>
          <w:p w:rsidR="00DD47B0" w:rsidRPr="0099746A" w:rsidRDefault="00DD47B0" w:rsidP="00DD47B0">
            <w:pPr>
              <w:pStyle w:val="Akapitzlist"/>
              <w:numPr>
                <w:ilvl w:val="0"/>
                <w:numId w:val="9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Tomberlin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 J. K.,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Benbow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 M. C.: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Forensic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entomology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: International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dimensions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frontiers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>. , CRC Press, , 2015</w:t>
            </w:r>
          </w:p>
          <w:p w:rsidR="00DD47B0" w:rsidRPr="0099746A" w:rsidRDefault="00DD47B0" w:rsidP="00DD47B0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D47B0" w:rsidRPr="0099746A" w:rsidRDefault="00DD47B0" w:rsidP="00DD47B0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9746A">
              <w:rPr>
                <w:color w:val="000000" w:themeColor="text1"/>
                <w:sz w:val="22"/>
                <w:szCs w:val="22"/>
              </w:rPr>
              <w:t>Supplementary</w:t>
            </w:r>
            <w:proofErr w:type="spellEnd"/>
            <w:r w:rsidRPr="0099746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color w:val="000000" w:themeColor="text1"/>
                <w:sz w:val="22"/>
                <w:szCs w:val="22"/>
              </w:rPr>
              <w:t>literature</w:t>
            </w:r>
            <w:proofErr w:type="spellEnd"/>
            <w:r w:rsidRPr="0099746A">
              <w:rPr>
                <w:color w:val="000000" w:themeColor="text1"/>
                <w:sz w:val="22"/>
                <w:szCs w:val="22"/>
              </w:rPr>
              <w:t>:</w:t>
            </w:r>
          </w:p>
          <w:p w:rsidR="00DD47B0" w:rsidRPr="0099746A" w:rsidRDefault="00DD47B0" w:rsidP="00DD47B0">
            <w:pPr>
              <w:pStyle w:val="Akapitzlist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Tracqui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 A.,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Keyser-Tracqui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 C.,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Kintz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 P.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Ludes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 B. L. (2004):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Entomotoxicology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 for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forensic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toxicologist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: much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ado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about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nothing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 xml:space="preserve">?, </w:t>
            </w:r>
            <w:proofErr w:type="spellStart"/>
            <w:r w:rsidRPr="0099746A">
              <w:rPr>
                <w:bCs/>
                <w:color w:val="000000" w:themeColor="text1"/>
                <w:sz w:val="22"/>
                <w:szCs w:val="22"/>
              </w:rPr>
              <w:t>Int</w:t>
            </w:r>
            <w:proofErr w:type="spellEnd"/>
            <w:r w:rsidRPr="0099746A">
              <w:rPr>
                <w:bCs/>
                <w:color w:val="000000" w:themeColor="text1"/>
                <w:sz w:val="22"/>
                <w:szCs w:val="22"/>
              </w:rPr>
              <w:t>. J. Legal Med., 118: 194-196</w:t>
            </w:r>
          </w:p>
          <w:p w:rsidR="00DD47B0" w:rsidRPr="0099746A" w:rsidRDefault="00DD47B0" w:rsidP="00DD47B0">
            <w:pPr>
              <w:pStyle w:val="Akapitzlist"/>
              <w:numPr>
                <w:ilvl w:val="0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99746A">
              <w:rPr>
                <w:bCs/>
                <w:color w:val="000000"/>
                <w:sz w:val="22"/>
                <w:szCs w:val="22"/>
              </w:rPr>
              <w:t xml:space="preserve">Matuszewski S.,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Bajerlein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D.,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Konwerski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S., Szpila K. (2010):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Insect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succession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carrion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decomposition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in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selected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forests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of Central Europe. </w:t>
            </w:r>
          </w:p>
          <w:p w:rsidR="00DD47B0" w:rsidRPr="0099746A" w:rsidRDefault="00DD47B0" w:rsidP="00DD47B0">
            <w:pPr>
              <w:pStyle w:val="Akapitzlist"/>
              <w:numPr>
                <w:ilvl w:val="1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99746A">
              <w:rPr>
                <w:bCs/>
                <w:color w:val="000000"/>
                <w:sz w:val="22"/>
                <w:szCs w:val="22"/>
              </w:rPr>
              <w:t xml:space="preserve">Part 1: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Pattern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rate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decomposition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Forensic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Sci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>, 2010, 194: 85-93</w:t>
            </w:r>
          </w:p>
          <w:p w:rsidR="00DD47B0" w:rsidRPr="0099746A" w:rsidRDefault="00DD47B0" w:rsidP="00DD47B0">
            <w:pPr>
              <w:pStyle w:val="Akapitzlist"/>
              <w:numPr>
                <w:ilvl w:val="1"/>
                <w:numId w:val="8"/>
              </w:numPr>
              <w:jc w:val="both"/>
              <w:rPr>
                <w:color w:val="000000"/>
                <w:sz w:val="22"/>
                <w:szCs w:val="22"/>
              </w:rPr>
            </w:pPr>
            <w:r w:rsidRPr="0099746A">
              <w:rPr>
                <w:bCs/>
                <w:color w:val="000000"/>
                <w:sz w:val="22"/>
                <w:szCs w:val="22"/>
              </w:rPr>
              <w:t xml:space="preserve">Part 2: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Composition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residency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patterns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carrion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fauna,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Forensic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Sci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>, 2010, 195: 42-51</w:t>
            </w:r>
          </w:p>
          <w:p w:rsidR="002E1FC8" w:rsidRPr="0099746A" w:rsidRDefault="00DD47B0" w:rsidP="00DD47B0">
            <w:pPr>
              <w:jc w:val="both"/>
              <w:rPr>
                <w:sz w:val="22"/>
                <w:szCs w:val="22"/>
              </w:rPr>
            </w:pPr>
            <w:r w:rsidRPr="0099746A">
              <w:rPr>
                <w:bCs/>
                <w:color w:val="000000"/>
                <w:sz w:val="22"/>
                <w:szCs w:val="22"/>
              </w:rPr>
              <w:t xml:space="preserve">Part 3: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Succession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carrion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fauna.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Forensic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Sci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color w:val="000000"/>
                <w:sz w:val="22"/>
                <w:szCs w:val="22"/>
              </w:rPr>
              <w:t>Int</w:t>
            </w:r>
            <w:proofErr w:type="spellEnd"/>
            <w:r w:rsidRPr="0099746A">
              <w:rPr>
                <w:bCs/>
                <w:color w:val="000000"/>
                <w:sz w:val="22"/>
                <w:szCs w:val="22"/>
              </w:rPr>
              <w:t xml:space="preserve"> 2011, 207:150-163.</w:t>
            </w:r>
          </w:p>
        </w:tc>
      </w:tr>
      <w:tr w:rsidR="002E1FC8" w:rsidRPr="0099746A" w:rsidTr="00E61AA6">
        <w:tc>
          <w:tcPr>
            <w:tcW w:w="3942" w:type="dxa"/>
            <w:shd w:val="clear" w:color="auto" w:fill="auto"/>
            <w:vAlign w:val="center"/>
          </w:tcPr>
          <w:p w:rsidR="002E1FC8" w:rsidRPr="0099746A" w:rsidRDefault="002E1FC8" w:rsidP="002E1FC8">
            <w:pPr>
              <w:rPr>
                <w:sz w:val="22"/>
                <w:szCs w:val="22"/>
              </w:rPr>
            </w:pPr>
            <w:r w:rsidRPr="0099746A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2E1FC8" w:rsidRPr="0099746A" w:rsidRDefault="002E1FC8" w:rsidP="00DD47B0">
            <w:pPr>
              <w:rPr>
                <w:sz w:val="22"/>
                <w:szCs w:val="22"/>
              </w:rPr>
            </w:pPr>
            <w:proofErr w:type="spellStart"/>
            <w:r w:rsidRPr="0099746A">
              <w:rPr>
                <w:bCs/>
                <w:sz w:val="22"/>
                <w:szCs w:val="22"/>
              </w:rPr>
              <w:t>Lectures</w:t>
            </w:r>
            <w:proofErr w:type="spellEnd"/>
            <w:r w:rsidRPr="0099746A">
              <w:rPr>
                <w:bCs/>
                <w:sz w:val="22"/>
                <w:szCs w:val="22"/>
              </w:rPr>
              <w:t xml:space="preserve"> - multimedia </w:t>
            </w:r>
            <w:proofErr w:type="spellStart"/>
            <w:r w:rsidRPr="0099746A">
              <w:rPr>
                <w:bCs/>
                <w:sz w:val="22"/>
                <w:szCs w:val="22"/>
              </w:rPr>
              <w:t>presentation</w:t>
            </w:r>
            <w:proofErr w:type="spellEnd"/>
            <w:r w:rsidRPr="0099746A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9746A">
              <w:rPr>
                <w:bCs/>
                <w:sz w:val="22"/>
                <w:szCs w:val="22"/>
              </w:rPr>
              <w:t>films</w:t>
            </w:r>
            <w:proofErr w:type="spellEnd"/>
            <w:r w:rsidRPr="009974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sz w:val="22"/>
                <w:szCs w:val="22"/>
              </w:rPr>
              <w:t>connected</w:t>
            </w:r>
            <w:proofErr w:type="spellEnd"/>
            <w:r w:rsidRPr="009974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sz w:val="22"/>
                <w:szCs w:val="22"/>
              </w:rPr>
              <w:t>with</w:t>
            </w:r>
            <w:proofErr w:type="spellEnd"/>
            <w:r w:rsidRPr="009974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sz w:val="22"/>
                <w:szCs w:val="22"/>
              </w:rPr>
              <w:t>the</w:t>
            </w:r>
            <w:proofErr w:type="spellEnd"/>
            <w:r w:rsidRPr="0099746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9746A">
              <w:rPr>
                <w:bCs/>
                <w:sz w:val="22"/>
                <w:szCs w:val="22"/>
              </w:rPr>
              <w:t>subject</w:t>
            </w:r>
            <w:proofErr w:type="spellEnd"/>
            <w:r w:rsidR="00DD47B0" w:rsidRPr="0099746A">
              <w:rPr>
                <w:bCs/>
                <w:sz w:val="22"/>
                <w:szCs w:val="22"/>
              </w:rPr>
              <w:t>.</w:t>
            </w:r>
          </w:p>
        </w:tc>
      </w:tr>
    </w:tbl>
    <w:p w:rsidR="00E61AA6" w:rsidRPr="00CC2683" w:rsidRDefault="00E61AA6" w:rsidP="00E61AA6">
      <w:pPr>
        <w:rPr>
          <w:sz w:val="20"/>
          <w:szCs w:val="20"/>
        </w:rPr>
      </w:pPr>
    </w:p>
    <w:p w:rsidR="00E61AA6" w:rsidRPr="000A37AA" w:rsidRDefault="00E61AA6" w:rsidP="005967D6">
      <w:pPr>
        <w:rPr>
          <w:sz w:val="20"/>
          <w:szCs w:val="20"/>
        </w:rPr>
      </w:pPr>
    </w:p>
    <w:sectPr w:rsidR="00E61AA6" w:rsidRPr="000A37AA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EA" w:rsidRDefault="00604BEA" w:rsidP="008D17BD">
      <w:r>
        <w:separator/>
      </w:r>
    </w:p>
  </w:endnote>
  <w:endnote w:type="continuationSeparator" w:id="0">
    <w:p w:rsidR="00604BEA" w:rsidRDefault="00604BEA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0B38F6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E04D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E04DE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EA" w:rsidRDefault="00604BEA" w:rsidP="008D17BD">
      <w:r>
        <w:separator/>
      </w:r>
    </w:p>
  </w:footnote>
  <w:footnote w:type="continuationSeparator" w:id="0">
    <w:p w:rsidR="00604BEA" w:rsidRDefault="00604BEA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D4D18"/>
    <w:multiLevelType w:val="hybridMultilevel"/>
    <w:tmpl w:val="D2C2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5180"/>
    <w:multiLevelType w:val="hybridMultilevel"/>
    <w:tmpl w:val="C2CE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75FC8"/>
    <w:multiLevelType w:val="multilevel"/>
    <w:tmpl w:val="760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33EA8"/>
    <w:multiLevelType w:val="multilevel"/>
    <w:tmpl w:val="CFD4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66126"/>
    <w:rsid w:val="000A37AA"/>
    <w:rsid w:val="000B38F6"/>
    <w:rsid w:val="000D3419"/>
    <w:rsid w:val="000D45C2"/>
    <w:rsid w:val="000F587A"/>
    <w:rsid w:val="00101F00"/>
    <w:rsid w:val="00120398"/>
    <w:rsid w:val="001550F3"/>
    <w:rsid w:val="00162DC0"/>
    <w:rsid w:val="001C3717"/>
    <w:rsid w:val="00206860"/>
    <w:rsid w:val="00207270"/>
    <w:rsid w:val="002202ED"/>
    <w:rsid w:val="00230D6E"/>
    <w:rsid w:val="002835BD"/>
    <w:rsid w:val="00283678"/>
    <w:rsid w:val="002E1FC8"/>
    <w:rsid w:val="002E4043"/>
    <w:rsid w:val="003121FB"/>
    <w:rsid w:val="0032739E"/>
    <w:rsid w:val="00327467"/>
    <w:rsid w:val="003305C4"/>
    <w:rsid w:val="00340CBD"/>
    <w:rsid w:val="003853C3"/>
    <w:rsid w:val="00393A40"/>
    <w:rsid w:val="00394EF6"/>
    <w:rsid w:val="003A29C7"/>
    <w:rsid w:val="003A532D"/>
    <w:rsid w:val="003B32BF"/>
    <w:rsid w:val="003D4824"/>
    <w:rsid w:val="003F6868"/>
    <w:rsid w:val="00415F97"/>
    <w:rsid w:val="00457679"/>
    <w:rsid w:val="004B189D"/>
    <w:rsid w:val="004B7CC6"/>
    <w:rsid w:val="004E014A"/>
    <w:rsid w:val="00500899"/>
    <w:rsid w:val="0057184E"/>
    <w:rsid w:val="00581F3C"/>
    <w:rsid w:val="005869D2"/>
    <w:rsid w:val="00592A99"/>
    <w:rsid w:val="005967D6"/>
    <w:rsid w:val="005D06E4"/>
    <w:rsid w:val="005F4569"/>
    <w:rsid w:val="00604BEA"/>
    <w:rsid w:val="0063487A"/>
    <w:rsid w:val="006740FC"/>
    <w:rsid w:val="006742BC"/>
    <w:rsid w:val="006D3413"/>
    <w:rsid w:val="006D38CF"/>
    <w:rsid w:val="006E7958"/>
    <w:rsid w:val="006F3573"/>
    <w:rsid w:val="00730A52"/>
    <w:rsid w:val="007805D8"/>
    <w:rsid w:val="007B768F"/>
    <w:rsid w:val="0083437D"/>
    <w:rsid w:val="00840FFF"/>
    <w:rsid w:val="00850B52"/>
    <w:rsid w:val="00867487"/>
    <w:rsid w:val="0089357C"/>
    <w:rsid w:val="00893CD3"/>
    <w:rsid w:val="00896BC2"/>
    <w:rsid w:val="008A6E4A"/>
    <w:rsid w:val="008C27FB"/>
    <w:rsid w:val="008D0B7E"/>
    <w:rsid w:val="008D13BA"/>
    <w:rsid w:val="008D17BD"/>
    <w:rsid w:val="008F16EA"/>
    <w:rsid w:val="0092197E"/>
    <w:rsid w:val="00937415"/>
    <w:rsid w:val="00980EBB"/>
    <w:rsid w:val="0098654A"/>
    <w:rsid w:val="00991350"/>
    <w:rsid w:val="00992D17"/>
    <w:rsid w:val="0099746A"/>
    <w:rsid w:val="009C2572"/>
    <w:rsid w:val="009E49CA"/>
    <w:rsid w:val="00A00B9A"/>
    <w:rsid w:val="00A25D78"/>
    <w:rsid w:val="00A27747"/>
    <w:rsid w:val="00A6673A"/>
    <w:rsid w:val="00AA02DB"/>
    <w:rsid w:val="00AD6F61"/>
    <w:rsid w:val="00B32323"/>
    <w:rsid w:val="00B400C0"/>
    <w:rsid w:val="00B4313B"/>
    <w:rsid w:val="00B71AE7"/>
    <w:rsid w:val="00B73428"/>
    <w:rsid w:val="00B742CE"/>
    <w:rsid w:val="00BA2E91"/>
    <w:rsid w:val="00BB61F1"/>
    <w:rsid w:val="00BF20FE"/>
    <w:rsid w:val="00BF5620"/>
    <w:rsid w:val="00C2495F"/>
    <w:rsid w:val="00CD3047"/>
    <w:rsid w:val="00CD423D"/>
    <w:rsid w:val="00CF4691"/>
    <w:rsid w:val="00D2747A"/>
    <w:rsid w:val="00D552F8"/>
    <w:rsid w:val="00DB0FDC"/>
    <w:rsid w:val="00DC2364"/>
    <w:rsid w:val="00DD47B0"/>
    <w:rsid w:val="00E54369"/>
    <w:rsid w:val="00E56FD6"/>
    <w:rsid w:val="00E61AA6"/>
    <w:rsid w:val="00E832C8"/>
    <w:rsid w:val="00E84533"/>
    <w:rsid w:val="00E93CA9"/>
    <w:rsid w:val="00EB1A5F"/>
    <w:rsid w:val="00EC3848"/>
    <w:rsid w:val="00EE7227"/>
    <w:rsid w:val="00F02DA4"/>
    <w:rsid w:val="00F02E5D"/>
    <w:rsid w:val="00F2295C"/>
    <w:rsid w:val="00F46BE5"/>
    <w:rsid w:val="00F5772B"/>
    <w:rsid w:val="00F82B32"/>
    <w:rsid w:val="00FB0556"/>
    <w:rsid w:val="00FC261A"/>
    <w:rsid w:val="00FE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rsid w:val="00340CBD"/>
  </w:style>
  <w:style w:type="paragraph" w:styleId="Bezodstpw">
    <w:name w:val="No Spacing"/>
    <w:uiPriority w:val="1"/>
    <w:qFormat/>
    <w:rsid w:val="001550F3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B43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1C52-248A-40C7-A51F-94F23F13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5</cp:revision>
  <cp:lastPrinted>2021-07-01T08:34:00Z</cp:lastPrinted>
  <dcterms:created xsi:type="dcterms:W3CDTF">2022-03-28T11:41:00Z</dcterms:created>
  <dcterms:modified xsi:type="dcterms:W3CDTF">2022-04-13T08:45:00Z</dcterms:modified>
</cp:coreProperties>
</file>