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6" w:rsidRPr="00CC2683" w:rsidRDefault="00AE1416" w:rsidP="00AE141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AE1416" w:rsidRPr="00CC2683" w:rsidRDefault="00AE1416" w:rsidP="00AE1416">
      <w:pPr>
        <w:rPr>
          <w:b/>
          <w:sz w:val="20"/>
          <w:szCs w:val="20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661"/>
      </w:tblGrid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1914A8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 xml:space="preserve">Nazwa kierunku studiów 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1914A8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 xml:space="preserve">Kryminalistyka w </w:t>
            </w:r>
            <w:proofErr w:type="spellStart"/>
            <w:r w:rsidRPr="00D0618F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Balistyka i rany postrzałowe w kryminologii</w:t>
            </w:r>
          </w:p>
          <w:p w:rsidR="00AE1416" w:rsidRPr="00D0618F" w:rsidRDefault="00AE1416" w:rsidP="00AE1416">
            <w:pPr>
              <w:rPr>
                <w:sz w:val="20"/>
                <w:szCs w:val="20"/>
                <w:lang w:val="en-GB"/>
              </w:rPr>
            </w:pPr>
            <w:r w:rsidRPr="00D0618F">
              <w:rPr>
                <w:sz w:val="20"/>
                <w:szCs w:val="20"/>
              </w:rPr>
              <w:t>Ballistics and gunshot wounds in criminology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Polski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D06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B054B2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fakultatywny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Poziom studiów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pierwszego stopnia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Forma studiów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stacjonarne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III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Semestr dla kierunku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6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D0618F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385968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4</w:t>
            </w:r>
            <w:r w:rsidR="00AE1416" w:rsidRPr="00D0618F">
              <w:rPr>
                <w:sz w:val="20"/>
                <w:szCs w:val="20"/>
              </w:rPr>
              <w:t xml:space="preserve"> (1,</w:t>
            </w:r>
            <w:r w:rsidRPr="00D0618F">
              <w:rPr>
                <w:sz w:val="20"/>
                <w:szCs w:val="20"/>
              </w:rPr>
              <w:t>6</w:t>
            </w:r>
            <w:r w:rsidR="00AE1416" w:rsidRPr="00D0618F">
              <w:rPr>
                <w:sz w:val="20"/>
                <w:szCs w:val="20"/>
              </w:rPr>
              <w:t>/</w:t>
            </w:r>
            <w:r w:rsidRPr="00D0618F">
              <w:rPr>
                <w:sz w:val="20"/>
                <w:szCs w:val="20"/>
              </w:rPr>
              <w:t>2,4</w:t>
            </w:r>
            <w:r w:rsidR="00AE1416" w:rsidRPr="00D0618F">
              <w:rPr>
                <w:sz w:val="20"/>
                <w:szCs w:val="20"/>
              </w:rPr>
              <w:t>)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dr hab. Marian Flis, profesor uczelni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Katedra Etologii Zwierząt i Łowiectwa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Cel modułu</w:t>
            </w:r>
          </w:p>
          <w:p w:rsidR="00AE1416" w:rsidRPr="00D0618F" w:rsidRDefault="00AE1416" w:rsidP="00AE1416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18F">
              <w:rPr>
                <w:iCs/>
                <w:sz w:val="20"/>
                <w:szCs w:val="20"/>
              </w:rPr>
              <w:t>Celem nauczania jest zapoznanie studentów z teoretyczną i praktyczną znajomością zagadnień związanych z kryminalistyczną oceną wykorzystania broni palnej do umyślnych i nieumyślnych postrzeleń w tym także tych ze skutkiem śmiertelnym ludzi i zwierząt.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jc w:val="both"/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Anatomia zwierząt, Przepisy prawne w ochronie zwierząt, Ekspertyza sądowa</w:t>
            </w:r>
          </w:p>
        </w:tc>
      </w:tr>
      <w:tr w:rsidR="00AE1416" w:rsidRPr="00D0618F" w:rsidTr="00D0618F"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i/>
                <w:sz w:val="20"/>
                <w:szCs w:val="20"/>
              </w:rPr>
            </w:pPr>
            <w:r w:rsidRPr="00D0618F">
              <w:rPr>
                <w:i/>
                <w:sz w:val="20"/>
                <w:szCs w:val="20"/>
              </w:rPr>
              <w:t>Literatura podstawowa: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Czekaj J. 2017. Myśliwska broń palna. Oficyna Wydawnicza FOREST. Józefów.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0618F">
              <w:rPr>
                <w:sz w:val="20"/>
                <w:szCs w:val="20"/>
              </w:rPr>
              <w:t>Ejsmont</w:t>
            </w:r>
            <w:proofErr w:type="spellEnd"/>
            <w:r w:rsidRPr="00D0618F">
              <w:rPr>
                <w:sz w:val="20"/>
                <w:szCs w:val="20"/>
              </w:rPr>
              <w:t xml:space="preserve"> J. 2012. Celność broni strzeleckiej: praktyczny poradnik. Wydawnictwa Komunikacji i Łączności. Warszawa.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  <w:lang w:val="en-GB"/>
              </w:rPr>
              <w:t xml:space="preserve">Flis M., </w:t>
            </w:r>
            <w:proofErr w:type="spellStart"/>
            <w:r w:rsidRPr="00D0618F">
              <w:rPr>
                <w:sz w:val="20"/>
                <w:szCs w:val="20"/>
                <w:lang w:val="en-GB"/>
              </w:rPr>
              <w:t>Rataj</w:t>
            </w:r>
            <w:proofErr w:type="spellEnd"/>
            <w:r w:rsidRPr="00D0618F">
              <w:rPr>
                <w:sz w:val="20"/>
                <w:szCs w:val="20"/>
                <w:lang w:val="en-GB"/>
              </w:rPr>
              <w:t xml:space="preserve"> B. 2018. Forensic traces in forensic and veterinary opinions in case of suspicion of poaching with firearms. Archives of Forensic Medicine and Criminology. Vol. 68 (4), ss. 232-241.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Flis M., Piórkowski J., Rataj B. 2020. Postrzał psa ze skutkiem śmiertelnym w efekcie rykoszetowania pocisku kulowego w czasie polowania w sądowym opiniowaniu weterynaryjno-balistycznym</w:t>
            </w:r>
            <w:r w:rsidRPr="00D0618F">
              <w:rPr>
                <w:rStyle w:val="tytul"/>
                <w:sz w:val="20"/>
                <w:szCs w:val="20"/>
              </w:rPr>
              <w:t xml:space="preserve">. </w:t>
            </w:r>
            <w:r w:rsidRPr="00D0618F">
              <w:rPr>
                <w:sz w:val="20"/>
                <w:szCs w:val="20"/>
              </w:rPr>
              <w:t xml:space="preserve">Medycyna Weterynaryjna. Vol. 76(11), 621-625. 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Rozporządzenie Ministra Środowiska z dnia 23 marca 2005 w sprawie szczegółowych warunków wykonywania polowania i znakowania tusz (Dz.U.2005.61.548).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 xml:space="preserve">Puchalski T. 1978. Broń śrutowa i technika strzelania. </w:t>
            </w:r>
            <w:proofErr w:type="spellStart"/>
            <w:r w:rsidRPr="00D0618F">
              <w:rPr>
                <w:sz w:val="20"/>
                <w:szCs w:val="20"/>
              </w:rPr>
              <w:t>PWRiL</w:t>
            </w:r>
            <w:proofErr w:type="spellEnd"/>
            <w:r w:rsidRPr="00D0618F">
              <w:rPr>
                <w:sz w:val="20"/>
                <w:szCs w:val="20"/>
              </w:rPr>
              <w:t>. Warszawa.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 xml:space="preserve">Radecki W. 2008. Prawo łowieckie – Komentarz. Centrum Doradztwa i Informacji </w:t>
            </w:r>
            <w:proofErr w:type="spellStart"/>
            <w:r w:rsidRPr="00D0618F">
              <w:rPr>
                <w:sz w:val="20"/>
                <w:szCs w:val="20"/>
              </w:rPr>
              <w:t>Difin</w:t>
            </w:r>
            <w:proofErr w:type="spellEnd"/>
            <w:r w:rsidRPr="00D0618F">
              <w:rPr>
                <w:sz w:val="20"/>
                <w:szCs w:val="20"/>
              </w:rPr>
              <w:t xml:space="preserve"> sp. z o.o. Warszawa.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D0618F">
              <w:rPr>
                <w:sz w:val="20"/>
                <w:szCs w:val="20"/>
              </w:rPr>
              <w:t>Szyrkowiec</w:t>
            </w:r>
            <w:proofErr w:type="spellEnd"/>
            <w:r w:rsidRPr="00D0618F">
              <w:rPr>
                <w:sz w:val="20"/>
                <w:szCs w:val="20"/>
              </w:rPr>
              <w:t xml:space="preserve"> A. 1988. Myśliwska broń palna. Zasady budowy i eksploatacji. Wydawnictwo Ministerstwa Obrony Narodowej. Warszawa. 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Ustawa z dnia 13 października 1995 roku - prawo łowieckie (Dz.U.2015.2168).</w:t>
            </w:r>
          </w:p>
          <w:p w:rsidR="00AE1416" w:rsidRPr="00D0618F" w:rsidRDefault="00AE1416" w:rsidP="00AE1416">
            <w:pPr>
              <w:rPr>
                <w:i/>
                <w:sz w:val="20"/>
                <w:szCs w:val="20"/>
              </w:rPr>
            </w:pPr>
            <w:r w:rsidRPr="00D0618F">
              <w:rPr>
                <w:i/>
                <w:sz w:val="20"/>
                <w:szCs w:val="20"/>
              </w:rPr>
              <w:t>Literatura uzupełniająca: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D0618F">
              <w:rPr>
                <w:sz w:val="20"/>
                <w:szCs w:val="20"/>
              </w:rPr>
              <w:t>Szeremet</w:t>
            </w:r>
            <w:proofErr w:type="spellEnd"/>
            <w:r w:rsidRPr="00D0618F">
              <w:rPr>
                <w:sz w:val="20"/>
                <w:szCs w:val="20"/>
              </w:rPr>
              <w:t xml:space="preserve"> A. 2003. Strzelectwo myśliwskie. Oficyna Wydawnicza OIKOS sp. z o.o. Warszawa.</w:t>
            </w:r>
          </w:p>
          <w:p w:rsidR="000237F5" w:rsidRPr="00D0618F" w:rsidRDefault="00AE1416" w:rsidP="00AE1416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Artykuły w czasopismach łowieckich dotyczące zawodów strzeleckich (Łowiec Polski, Brać Łowiecka, Strzał).</w:t>
            </w:r>
          </w:p>
          <w:p w:rsidR="00AE1416" w:rsidRPr="00D0618F" w:rsidRDefault="00AE1416" w:rsidP="00AE1416">
            <w:pPr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Prawidła strzelań myśliwskich obowiązujących w Polskim Związku Łowieckim.</w:t>
            </w:r>
          </w:p>
        </w:tc>
      </w:tr>
      <w:tr w:rsidR="00AE1416" w:rsidRPr="00D0618F" w:rsidTr="00D0618F">
        <w:trPr>
          <w:trHeight w:val="56"/>
        </w:trPr>
        <w:tc>
          <w:tcPr>
            <w:tcW w:w="3942" w:type="dxa"/>
            <w:shd w:val="clear" w:color="auto" w:fill="auto"/>
            <w:vAlign w:val="center"/>
          </w:tcPr>
          <w:p w:rsidR="00AE1416" w:rsidRPr="00D0618F" w:rsidRDefault="00AE1416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AE1416" w:rsidRPr="00D0618F" w:rsidRDefault="000237F5" w:rsidP="00AE1416">
            <w:pPr>
              <w:rPr>
                <w:sz w:val="20"/>
                <w:szCs w:val="20"/>
              </w:rPr>
            </w:pPr>
            <w:r w:rsidRPr="00D0618F">
              <w:rPr>
                <w:sz w:val="20"/>
                <w:szCs w:val="20"/>
              </w:rPr>
              <w:t>W zakresie metod dydaktycznych przewidziane są zajęcia wykładowe oraz ćwiczeniowe w tym zajęcia terenowe. Tematyka wykładów realizowana będzie w oparciu o przygotowane prezentacje multimedialne, w których umieszczone będą fotografie, schematy oraz filmy pokazujące rodzaje broni, która może być wykorzystana do różnego rodzaju przestępstw oraz amunicji do tej broni lub innych środków rażących na odległość. W czasie ćwiczeń studenci zapoznani zostaną z teoretycznymi (ćwiczenia audytoryjne) oraz praktycznymi (ćwiczenia terenowe) aspektami balistyki pocisków wystrzelonych z różnych rodzajów broni pod względem konstrukcyjnym i rodzaju pocisków. Na ćwiczenia terenowe przewidziano zapoznanie studentów z elementami oddawania strzałów oraz penetracji pocisków przeszkód o zróżnicowanym charakterze w tym również rykoszetowania pocisków.</w:t>
            </w:r>
          </w:p>
        </w:tc>
      </w:tr>
    </w:tbl>
    <w:p w:rsidR="00AE1416" w:rsidRPr="00CC2683" w:rsidRDefault="00AE1416" w:rsidP="00AE1416">
      <w:pPr>
        <w:rPr>
          <w:sz w:val="20"/>
          <w:szCs w:val="20"/>
        </w:rPr>
      </w:pPr>
    </w:p>
    <w:p w:rsidR="00AE1416" w:rsidRPr="003305C4" w:rsidRDefault="00AE1416" w:rsidP="00023A99">
      <w:pPr>
        <w:rPr>
          <w:sz w:val="22"/>
          <w:szCs w:val="22"/>
        </w:rPr>
      </w:pPr>
    </w:p>
    <w:sectPr w:rsidR="00AE1416" w:rsidRPr="003305C4" w:rsidSect="00D0618F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30" w:rsidRDefault="00932830" w:rsidP="008D17BD">
      <w:r>
        <w:separator/>
      </w:r>
    </w:p>
  </w:endnote>
  <w:endnote w:type="continuationSeparator" w:id="0">
    <w:p w:rsidR="00932830" w:rsidRDefault="0093283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E41E2" w:rsidRDefault="00FE0FE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3E41E2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0618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3E41E2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3E41E2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0618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3E41E2" w:rsidRDefault="003E4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30" w:rsidRDefault="00932830" w:rsidP="008D17BD">
      <w:r>
        <w:separator/>
      </w:r>
    </w:p>
  </w:footnote>
  <w:footnote w:type="continuationSeparator" w:id="0">
    <w:p w:rsidR="00932830" w:rsidRDefault="00932830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0E191251"/>
    <w:multiLevelType w:val="hybridMultilevel"/>
    <w:tmpl w:val="D8E090C8"/>
    <w:lvl w:ilvl="0" w:tplc="ED6AB9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2E5D57"/>
    <w:multiLevelType w:val="hybridMultilevel"/>
    <w:tmpl w:val="1590BA14"/>
    <w:lvl w:ilvl="0" w:tplc="ED6AB9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17DC"/>
    <w:multiLevelType w:val="hybridMultilevel"/>
    <w:tmpl w:val="023CF3B6"/>
    <w:lvl w:ilvl="0" w:tplc="22AEC5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B31D3"/>
    <w:multiLevelType w:val="multilevel"/>
    <w:tmpl w:val="6EFADA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F713F"/>
    <w:multiLevelType w:val="hybridMultilevel"/>
    <w:tmpl w:val="C610C672"/>
    <w:lvl w:ilvl="0" w:tplc="990AC3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7F5"/>
    <w:rsid w:val="00023A99"/>
    <w:rsid w:val="00027F64"/>
    <w:rsid w:val="000303A6"/>
    <w:rsid w:val="0005376E"/>
    <w:rsid w:val="000957ED"/>
    <w:rsid w:val="000B5A32"/>
    <w:rsid w:val="000D45C2"/>
    <w:rsid w:val="000F587A"/>
    <w:rsid w:val="00101F00"/>
    <w:rsid w:val="00120398"/>
    <w:rsid w:val="00195FE1"/>
    <w:rsid w:val="00206860"/>
    <w:rsid w:val="00207270"/>
    <w:rsid w:val="002211A8"/>
    <w:rsid w:val="002835BD"/>
    <w:rsid w:val="00283678"/>
    <w:rsid w:val="002E4043"/>
    <w:rsid w:val="00311CE6"/>
    <w:rsid w:val="0032739E"/>
    <w:rsid w:val="003305C4"/>
    <w:rsid w:val="003534E4"/>
    <w:rsid w:val="003853C3"/>
    <w:rsid w:val="00385968"/>
    <w:rsid w:val="003A148F"/>
    <w:rsid w:val="003A4C59"/>
    <w:rsid w:val="003B32BF"/>
    <w:rsid w:val="003D3753"/>
    <w:rsid w:val="003E41E2"/>
    <w:rsid w:val="00457679"/>
    <w:rsid w:val="004B189D"/>
    <w:rsid w:val="004E014A"/>
    <w:rsid w:val="004E2927"/>
    <w:rsid w:val="004E47D7"/>
    <w:rsid w:val="00500899"/>
    <w:rsid w:val="005146AB"/>
    <w:rsid w:val="0052205F"/>
    <w:rsid w:val="0057184E"/>
    <w:rsid w:val="005869D2"/>
    <w:rsid w:val="00592A99"/>
    <w:rsid w:val="0063024D"/>
    <w:rsid w:val="0063487A"/>
    <w:rsid w:val="0064655E"/>
    <w:rsid w:val="006742BC"/>
    <w:rsid w:val="006F3573"/>
    <w:rsid w:val="0072472B"/>
    <w:rsid w:val="007930AA"/>
    <w:rsid w:val="007B768F"/>
    <w:rsid w:val="007E3260"/>
    <w:rsid w:val="007E7691"/>
    <w:rsid w:val="0083437D"/>
    <w:rsid w:val="00850B52"/>
    <w:rsid w:val="008636F9"/>
    <w:rsid w:val="0089357C"/>
    <w:rsid w:val="00893CD3"/>
    <w:rsid w:val="00896BC2"/>
    <w:rsid w:val="008D0B7E"/>
    <w:rsid w:val="008D13BA"/>
    <w:rsid w:val="008D17BD"/>
    <w:rsid w:val="0092197E"/>
    <w:rsid w:val="00932830"/>
    <w:rsid w:val="00941D30"/>
    <w:rsid w:val="00945ED1"/>
    <w:rsid w:val="009700B5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A1B6C"/>
    <w:rsid w:val="00AB4F35"/>
    <w:rsid w:val="00AB5123"/>
    <w:rsid w:val="00AD6F61"/>
    <w:rsid w:val="00AE1416"/>
    <w:rsid w:val="00B054B2"/>
    <w:rsid w:val="00B32323"/>
    <w:rsid w:val="00B400C0"/>
    <w:rsid w:val="00B62C69"/>
    <w:rsid w:val="00B742CE"/>
    <w:rsid w:val="00BA2E91"/>
    <w:rsid w:val="00BF20FE"/>
    <w:rsid w:val="00BF5620"/>
    <w:rsid w:val="00C933DB"/>
    <w:rsid w:val="00CA5E19"/>
    <w:rsid w:val="00CD3047"/>
    <w:rsid w:val="00CD423D"/>
    <w:rsid w:val="00D0618F"/>
    <w:rsid w:val="00D2747A"/>
    <w:rsid w:val="00D423F1"/>
    <w:rsid w:val="00D552F8"/>
    <w:rsid w:val="00DC2364"/>
    <w:rsid w:val="00DE0206"/>
    <w:rsid w:val="00E2533D"/>
    <w:rsid w:val="00E54369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6155F"/>
    <w:rsid w:val="00F82B32"/>
    <w:rsid w:val="00FB0556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11C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qFormat/>
    <w:rsid w:val="00311C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E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E769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E7691"/>
  </w:style>
  <w:style w:type="character" w:customStyle="1" w:styleId="Nagwek2Znak">
    <w:name w:val="Nagłówek 2 Znak"/>
    <w:basedOn w:val="Domylnaczcionkaakapitu"/>
    <w:link w:val="Nagwek2"/>
    <w:uiPriority w:val="9"/>
    <w:rsid w:val="00311C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11C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lerespstmt">
    <w:name w:val="title_resp_stmt"/>
    <w:basedOn w:val="Domylnaczcionkaakapitu"/>
    <w:rsid w:val="00311CE6"/>
  </w:style>
  <w:style w:type="character" w:customStyle="1" w:styleId="byauthor">
    <w:name w:val="byauthor"/>
    <w:basedOn w:val="Domylnaczcionkaakapitu"/>
    <w:rsid w:val="00311CE6"/>
  </w:style>
  <w:style w:type="character" w:styleId="Hipercze">
    <w:name w:val="Hyperlink"/>
    <w:basedOn w:val="Domylnaczcionkaakapitu"/>
    <w:uiPriority w:val="99"/>
    <w:semiHidden/>
    <w:unhideWhenUsed/>
    <w:rsid w:val="00311CE6"/>
    <w:rPr>
      <w:color w:val="0000FF"/>
      <w:u w:val="single"/>
    </w:rPr>
  </w:style>
  <w:style w:type="character" w:customStyle="1" w:styleId="authordates">
    <w:name w:val="authordates"/>
    <w:basedOn w:val="Domylnaczcionkaakapitu"/>
    <w:rsid w:val="00311CE6"/>
  </w:style>
  <w:style w:type="character" w:customStyle="1" w:styleId="relatorcode">
    <w:name w:val="relatorcode"/>
    <w:basedOn w:val="Domylnaczcionkaakapitu"/>
    <w:rsid w:val="00311CE6"/>
  </w:style>
  <w:style w:type="character" w:customStyle="1" w:styleId="resultssummary">
    <w:name w:val="results_summary"/>
    <w:basedOn w:val="Domylnaczcionkaakapitu"/>
    <w:rsid w:val="00311CE6"/>
  </w:style>
  <w:style w:type="character" w:customStyle="1" w:styleId="label">
    <w:name w:val="label"/>
    <w:basedOn w:val="Domylnaczcionkaakapitu"/>
    <w:rsid w:val="00311CE6"/>
  </w:style>
  <w:style w:type="character" w:customStyle="1" w:styleId="markedcontent">
    <w:name w:val="markedcontent"/>
    <w:basedOn w:val="Domylnaczcionkaakapitu"/>
    <w:rsid w:val="005146AB"/>
  </w:style>
  <w:style w:type="character" w:customStyle="1" w:styleId="tytul">
    <w:name w:val="tytul"/>
    <w:rsid w:val="00027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40FA-2515-47AE-8CAE-25BC53B1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2022-03-25T12:04:00Z</dcterms:created>
  <dcterms:modified xsi:type="dcterms:W3CDTF">2022-04-08T11:17:00Z</dcterms:modified>
</cp:coreProperties>
</file>