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A488" w14:textId="77777777" w:rsidR="00D04F4E" w:rsidRDefault="00D04F4E" w:rsidP="00D04F4E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2281"/>
        <w:gridCol w:w="2301"/>
        <w:gridCol w:w="1538"/>
        <w:gridCol w:w="1663"/>
      </w:tblGrid>
      <w:tr w:rsidR="00D04F4E" w:rsidRPr="00D04F4E" w14:paraId="6AA59C6C" w14:textId="77777777" w:rsidTr="00953FFC">
        <w:trPr>
          <w:trHeight w:val="1127"/>
        </w:trPr>
        <w:tc>
          <w:tcPr>
            <w:tcW w:w="9778" w:type="dxa"/>
            <w:gridSpan w:val="5"/>
          </w:tcPr>
          <w:p w14:paraId="4A0CEB7E" w14:textId="77777777" w:rsidR="00D04F4E" w:rsidRPr="00D04F4E" w:rsidRDefault="00D04F4E" w:rsidP="00D04F4E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  <w:p w14:paraId="6CB324CD" w14:textId="77777777" w:rsidR="00D04F4E" w:rsidRPr="00D04F4E" w:rsidRDefault="00D04F4E" w:rsidP="00D04F4E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D04F4E">
              <w:rPr>
                <w:rFonts w:eastAsia="Times New Roman"/>
                <w:b/>
                <w:sz w:val="28"/>
                <w:szCs w:val="28"/>
                <w:lang w:eastAsia="pl-PL"/>
              </w:rPr>
              <w:t>WYDZIAŁ AGROBIOINŻYNIERII</w:t>
            </w:r>
          </w:p>
          <w:p w14:paraId="2F97B91F" w14:textId="77777777" w:rsidR="00D04F4E" w:rsidRPr="00D04F4E" w:rsidRDefault="00D04F4E" w:rsidP="00D04F4E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D04F4E" w:rsidRPr="00D04F4E" w14:paraId="2ECBD532" w14:textId="77777777" w:rsidTr="00953FFC">
        <w:tc>
          <w:tcPr>
            <w:tcW w:w="6408" w:type="dxa"/>
            <w:gridSpan w:val="3"/>
            <w:vAlign w:val="center"/>
          </w:tcPr>
          <w:p w14:paraId="6E6EC3FB" w14:textId="77777777" w:rsidR="00D04F4E" w:rsidRPr="00D04F4E" w:rsidRDefault="00D04F4E" w:rsidP="00D04F4E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D04F4E">
              <w:rPr>
                <w:rFonts w:eastAsia="Times New Roman"/>
                <w:b/>
                <w:sz w:val="28"/>
                <w:szCs w:val="28"/>
                <w:lang w:eastAsia="pl-PL"/>
              </w:rPr>
              <w:t>KARTA PROCEDURY</w:t>
            </w:r>
          </w:p>
        </w:tc>
        <w:tc>
          <w:tcPr>
            <w:tcW w:w="1620" w:type="dxa"/>
          </w:tcPr>
          <w:p w14:paraId="2A6171D7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Nr procedury</w:t>
            </w:r>
          </w:p>
        </w:tc>
        <w:tc>
          <w:tcPr>
            <w:tcW w:w="1750" w:type="dxa"/>
          </w:tcPr>
          <w:p w14:paraId="7759101B" w14:textId="74A08D43" w:rsidR="00D04F4E" w:rsidRPr="00D04F4E" w:rsidRDefault="00D04F4E" w:rsidP="002D3214">
            <w:pPr>
              <w:spacing w:after="0" w:line="360" w:lineRule="auto"/>
              <w:rPr>
                <w:rFonts w:eastAsia="Times New Roman"/>
                <w:b/>
                <w:szCs w:val="24"/>
                <w:lang w:eastAsia="pl-PL"/>
              </w:rPr>
            </w:pPr>
            <w:r w:rsidRPr="00D04F4E">
              <w:rPr>
                <w:rFonts w:eastAsia="Times New Roman"/>
                <w:b/>
                <w:szCs w:val="24"/>
                <w:lang w:eastAsia="pl-PL"/>
              </w:rPr>
              <w:t>WA A</w:t>
            </w:r>
            <w:r w:rsidR="002D3214">
              <w:rPr>
                <w:rFonts w:eastAsia="Times New Roman"/>
                <w:b/>
                <w:szCs w:val="24"/>
                <w:lang w:eastAsia="pl-PL"/>
              </w:rPr>
              <w:t>8</w:t>
            </w:r>
            <w:bookmarkStart w:id="0" w:name="_GoBack"/>
            <w:bookmarkEnd w:id="0"/>
          </w:p>
        </w:tc>
      </w:tr>
      <w:tr w:rsidR="00D04F4E" w:rsidRPr="00D04F4E" w14:paraId="48FB9391" w14:textId="77777777" w:rsidTr="00953FFC">
        <w:tc>
          <w:tcPr>
            <w:tcW w:w="6408" w:type="dxa"/>
            <w:gridSpan w:val="3"/>
            <w:vMerge w:val="restart"/>
          </w:tcPr>
          <w:p w14:paraId="5CBE9C87" w14:textId="1BD1A18D" w:rsidR="00D04F4E" w:rsidRPr="00D04F4E" w:rsidRDefault="0084204B" w:rsidP="0084204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84204B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ZASADY REAGOWANIA NA KONFLIKTY, DYSKRYMINACJĘ </w:t>
            </w: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I</w:t>
            </w:r>
            <w:r w:rsidRPr="0084204B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 ZAGROŻENIA LUB</w:t>
            </w: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84204B">
              <w:rPr>
                <w:rFonts w:eastAsia="Times New Roman"/>
                <w:b/>
                <w:sz w:val="28"/>
                <w:szCs w:val="28"/>
                <w:lang w:eastAsia="pl-PL"/>
              </w:rPr>
              <w:t>NARUSZENIA BEZPIECZEŃSTW</w:t>
            </w: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620" w:type="dxa"/>
          </w:tcPr>
          <w:p w14:paraId="1787DE2F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Strona 1</w:t>
            </w:r>
          </w:p>
        </w:tc>
        <w:tc>
          <w:tcPr>
            <w:tcW w:w="1750" w:type="dxa"/>
          </w:tcPr>
          <w:p w14:paraId="52635D35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 xml:space="preserve">Stron </w:t>
            </w:r>
            <w:r>
              <w:rPr>
                <w:rFonts w:eastAsia="Times New Roman"/>
                <w:szCs w:val="24"/>
                <w:lang w:eastAsia="pl-PL"/>
              </w:rPr>
              <w:t>3</w:t>
            </w:r>
          </w:p>
        </w:tc>
      </w:tr>
      <w:tr w:rsidR="00D04F4E" w:rsidRPr="00D04F4E" w14:paraId="0EEDBA74" w14:textId="77777777" w:rsidTr="00953FFC">
        <w:tc>
          <w:tcPr>
            <w:tcW w:w="6408" w:type="dxa"/>
            <w:gridSpan w:val="3"/>
            <w:vMerge/>
          </w:tcPr>
          <w:p w14:paraId="76590F4B" w14:textId="77777777" w:rsidR="00D04F4E" w:rsidRPr="00D04F4E" w:rsidRDefault="00D04F4E" w:rsidP="00D04F4E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51ACA67B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Wydanie</w:t>
            </w:r>
          </w:p>
        </w:tc>
        <w:tc>
          <w:tcPr>
            <w:tcW w:w="1750" w:type="dxa"/>
          </w:tcPr>
          <w:p w14:paraId="677BAECC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II</w:t>
            </w:r>
          </w:p>
        </w:tc>
      </w:tr>
      <w:tr w:rsidR="00D04F4E" w:rsidRPr="00D04F4E" w14:paraId="63D164D2" w14:textId="77777777" w:rsidTr="00953FFC">
        <w:tc>
          <w:tcPr>
            <w:tcW w:w="6408" w:type="dxa"/>
            <w:gridSpan w:val="3"/>
            <w:vMerge/>
          </w:tcPr>
          <w:p w14:paraId="5116AEA9" w14:textId="77777777" w:rsidR="00D04F4E" w:rsidRPr="00D04F4E" w:rsidRDefault="00D04F4E" w:rsidP="00D04F4E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6E375DE9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Data wydania</w:t>
            </w:r>
          </w:p>
        </w:tc>
        <w:tc>
          <w:tcPr>
            <w:tcW w:w="1750" w:type="dxa"/>
          </w:tcPr>
          <w:p w14:paraId="5D1AAFA6" w14:textId="182C7146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84204B">
              <w:rPr>
                <w:rFonts w:eastAsia="Times New Roman"/>
                <w:szCs w:val="24"/>
                <w:lang w:eastAsia="pl-PL"/>
              </w:rPr>
              <w:t>1</w:t>
            </w:r>
            <w:r w:rsidR="00D168D7">
              <w:rPr>
                <w:rFonts w:eastAsia="Times New Roman"/>
                <w:szCs w:val="24"/>
                <w:lang w:eastAsia="pl-PL"/>
              </w:rPr>
              <w:t>4</w:t>
            </w:r>
            <w:r w:rsidRPr="0084204B">
              <w:rPr>
                <w:rFonts w:eastAsia="Times New Roman"/>
                <w:szCs w:val="24"/>
                <w:lang w:eastAsia="pl-PL"/>
              </w:rPr>
              <w:t>.02.202</w:t>
            </w:r>
            <w:r w:rsidR="00D168D7">
              <w:rPr>
                <w:rFonts w:eastAsia="Times New Roman"/>
                <w:szCs w:val="24"/>
                <w:lang w:eastAsia="pl-PL"/>
              </w:rPr>
              <w:t>3</w:t>
            </w:r>
          </w:p>
        </w:tc>
      </w:tr>
      <w:tr w:rsidR="00D04F4E" w:rsidRPr="00D04F4E" w14:paraId="7B1421DE" w14:textId="77777777" w:rsidTr="00953FFC">
        <w:tc>
          <w:tcPr>
            <w:tcW w:w="1548" w:type="dxa"/>
          </w:tcPr>
          <w:p w14:paraId="7315AD3E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362" w:type="dxa"/>
          </w:tcPr>
          <w:p w14:paraId="21A42560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Zespół</w:t>
            </w:r>
          </w:p>
        </w:tc>
        <w:tc>
          <w:tcPr>
            <w:tcW w:w="2498" w:type="dxa"/>
          </w:tcPr>
          <w:p w14:paraId="313AA579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 xml:space="preserve">Stanowisko/ imię i nazwisko </w:t>
            </w:r>
          </w:p>
        </w:tc>
        <w:tc>
          <w:tcPr>
            <w:tcW w:w="1620" w:type="dxa"/>
          </w:tcPr>
          <w:p w14:paraId="31EAE561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Data</w:t>
            </w:r>
          </w:p>
        </w:tc>
        <w:tc>
          <w:tcPr>
            <w:tcW w:w="1750" w:type="dxa"/>
          </w:tcPr>
          <w:p w14:paraId="1B6E8C96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Podpis</w:t>
            </w:r>
          </w:p>
        </w:tc>
      </w:tr>
      <w:tr w:rsidR="00D04F4E" w:rsidRPr="00D04F4E" w14:paraId="2C35CA1B" w14:textId="77777777" w:rsidTr="00953FFC">
        <w:tc>
          <w:tcPr>
            <w:tcW w:w="1548" w:type="dxa"/>
          </w:tcPr>
          <w:p w14:paraId="4E643783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Opracował</w:t>
            </w:r>
          </w:p>
        </w:tc>
        <w:tc>
          <w:tcPr>
            <w:tcW w:w="2362" w:type="dxa"/>
          </w:tcPr>
          <w:p w14:paraId="75B26BC9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Wydziałowy Zespół ds. Weryfikacji  Procedur</w:t>
            </w:r>
          </w:p>
        </w:tc>
        <w:tc>
          <w:tcPr>
            <w:tcW w:w="2498" w:type="dxa"/>
            <w:vAlign w:val="center"/>
          </w:tcPr>
          <w:p w14:paraId="58DDFDFF" w14:textId="5C18E31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84204B">
              <w:rPr>
                <w:rFonts w:eastAsia="Times New Roman"/>
                <w:szCs w:val="24"/>
                <w:lang w:eastAsia="pl-PL"/>
              </w:rPr>
              <w:t xml:space="preserve">Dr hab. </w:t>
            </w:r>
            <w:r w:rsidR="00D168D7">
              <w:rPr>
                <w:rFonts w:eastAsia="Times New Roman"/>
                <w:szCs w:val="24"/>
                <w:lang w:eastAsia="pl-PL"/>
              </w:rPr>
              <w:t>Danuta Sugier</w:t>
            </w:r>
            <w:r w:rsidRPr="0084204B">
              <w:rPr>
                <w:rFonts w:eastAsia="Times New Roman"/>
                <w:szCs w:val="24"/>
                <w:lang w:eastAsia="pl-PL"/>
              </w:rPr>
              <w:t xml:space="preserve"> prof. uczelni</w:t>
            </w:r>
          </w:p>
        </w:tc>
        <w:tc>
          <w:tcPr>
            <w:tcW w:w="1620" w:type="dxa"/>
          </w:tcPr>
          <w:p w14:paraId="576602C4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50" w:type="dxa"/>
          </w:tcPr>
          <w:p w14:paraId="7F84FEF4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04F4E" w:rsidRPr="00D04F4E" w14:paraId="3E53605A" w14:textId="77777777" w:rsidTr="00953FFC">
        <w:tc>
          <w:tcPr>
            <w:tcW w:w="1548" w:type="dxa"/>
          </w:tcPr>
          <w:p w14:paraId="26974434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Sprawdził</w:t>
            </w:r>
          </w:p>
        </w:tc>
        <w:tc>
          <w:tcPr>
            <w:tcW w:w="2362" w:type="dxa"/>
          </w:tcPr>
          <w:p w14:paraId="142042EE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Wydziałowa Komisja ds. Jakości Kształcenia</w:t>
            </w:r>
          </w:p>
        </w:tc>
        <w:tc>
          <w:tcPr>
            <w:tcW w:w="2498" w:type="dxa"/>
            <w:vAlign w:val="center"/>
          </w:tcPr>
          <w:p w14:paraId="34B4553E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 xml:space="preserve">Dr hab. Sylwia Andruszczak </w:t>
            </w:r>
          </w:p>
          <w:p w14:paraId="0536E885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prof. uczelni</w:t>
            </w:r>
          </w:p>
        </w:tc>
        <w:tc>
          <w:tcPr>
            <w:tcW w:w="1620" w:type="dxa"/>
          </w:tcPr>
          <w:p w14:paraId="2682E440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50" w:type="dxa"/>
          </w:tcPr>
          <w:p w14:paraId="067B2BFE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04F4E" w:rsidRPr="00D04F4E" w14:paraId="6D5BA833" w14:textId="77777777" w:rsidTr="00953FFC">
        <w:tc>
          <w:tcPr>
            <w:tcW w:w="1548" w:type="dxa"/>
          </w:tcPr>
          <w:p w14:paraId="1FA43590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Zatwierdził</w:t>
            </w:r>
          </w:p>
        </w:tc>
        <w:tc>
          <w:tcPr>
            <w:tcW w:w="2362" w:type="dxa"/>
          </w:tcPr>
          <w:p w14:paraId="79A7991F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 xml:space="preserve">Kolegium Wydziału  </w:t>
            </w:r>
            <w:proofErr w:type="spellStart"/>
            <w:r w:rsidRPr="00D04F4E">
              <w:rPr>
                <w:rFonts w:eastAsia="Times New Roman"/>
                <w:szCs w:val="24"/>
                <w:lang w:eastAsia="pl-PL"/>
              </w:rPr>
              <w:t>Agrobioinżynierii</w:t>
            </w:r>
            <w:proofErr w:type="spellEnd"/>
          </w:p>
        </w:tc>
        <w:tc>
          <w:tcPr>
            <w:tcW w:w="2498" w:type="dxa"/>
          </w:tcPr>
          <w:p w14:paraId="2DAA22DD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 xml:space="preserve">Dziekan/ Prof. dr hab. Barbara Kołodziej </w:t>
            </w:r>
          </w:p>
        </w:tc>
        <w:tc>
          <w:tcPr>
            <w:tcW w:w="1620" w:type="dxa"/>
          </w:tcPr>
          <w:p w14:paraId="730841A3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50" w:type="dxa"/>
          </w:tcPr>
          <w:p w14:paraId="1ECB03C0" w14:textId="77777777" w:rsidR="00D04F4E" w:rsidRPr="00D04F4E" w:rsidRDefault="00D04F4E" w:rsidP="00D04F4E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7050A95B" w14:textId="77777777" w:rsidR="00D04F4E" w:rsidRPr="00D04F4E" w:rsidRDefault="00D04F4E" w:rsidP="00D04F4E">
      <w:pPr>
        <w:spacing w:after="0" w:line="360" w:lineRule="auto"/>
        <w:rPr>
          <w:rFonts w:eastAsia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7985"/>
      </w:tblGrid>
      <w:tr w:rsidR="00D04F4E" w:rsidRPr="00D04F4E" w14:paraId="78F94DC7" w14:textId="77777777" w:rsidTr="00C57AF3">
        <w:trPr>
          <w:trHeight w:val="1149"/>
        </w:trPr>
        <w:tc>
          <w:tcPr>
            <w:tcW w:w="9288" w:type="dxa"/>
            <w:gridSpan w:val="2"/>
          </w:tcPr>
          <w:p w14:paraId="617DF993" w14:textId="77777777" w:rsidR="00D04F4E" w:rsidRPr="00D04F4E" w:rsidRDefault="00D04F4E" w:rsidP="00D04F4E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14:paraId="38DC5D6F" w14:textId="77777777" w:rsidR="00D04F4E" w:rsidRPr="00D04F4E" w:rsidRDefault="00D04F4E" w:rsidP="00D04F4E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D04F4E">
              <w:rPr>
                <w:rFonts w:eastAsia="Times New Roman"/>
                <w:b/>
                <w:sz w:val="28"/>
                <w:szCs w:val="28"/>
                <w:lang w:eastAsia="pl-PL"/>
              </w:rPr>
              <w:t>ZAWARTOŚĆ KARTY PROCEDURY</w:t>
            </w:r>
          </w:p>
        </w:tc>
      </w:tr>
      <w:tr w:rsidR="00D04F4E" w:rsidRPr="00D04F4E" w14:paraId="65FD4C9B" w14:textId="77777777" w:rsidTr="00C57AF3">
        <w:tc>
          <w:tcPr>
            <w:tcW w:w="1303" w:type="dxa"/>
          </w:tcPr>
          <w:p w14:paraId="0F29BF0F" w14:textId="77777777" w:rsidR="00D04F4E" w:rsidRPr="00D04F4E" w:rsidRDefault="00D04F4E" w:rsidP="00D04F4E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7985" w:type="dxa"/>
          </w:tcPr>
          <w:p w14:paraId="4F936E5A" w14:textId="77777777" w:rsidR="00D04F4E" w:rsidRPr="00D04F4E" w:rsidRDefault="00D04F4E" w:rsidP="00D04F4E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Cel procedury</w:t>
            </w:r>
          </w:p>
        </w:tc>
      </w:tr>
      <w:tr w:rsidR="00D04F4E" w:rsidRPr="00D04F4E" w14:paraId="3C22127B" w14:textId="77777777" w:rsidTr="00C57AF3">
        <w:tc>
          <w:tcPr>
            <w:tcW w:w="1303" w:type="dxa"/>
          </w:tcPr>
          <w:p w14:paraId="4170D550" w14:textId="77777777" w:rsidR="00D04F4E" w:rsidRPr="00D04F4E" w:rsidRDefault="00C57AF3" w:rsidP="00C57AF3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</w:t>
            </w:r>
            <w:r w:rsidR="00D04F4E" w:rsidRPr="00D04F4E">
              <w:rPr>
                <w:rFonts w:eastAsia="Times New Roman"/>
                <w:szCs w:val="24"/>
                <w:lang w:eastAsia="pl-PL"/>
              </w:rPr>
              <w:t>.</w:t>
            </w:r>
          </w:p>
        </w:tc>
        <w:tc>
          <w:tcPr>
            <w:tcW w:w="7985" w:type="dxa"/>
          </w:tcPr>
          <w:p w14:paraId="20B43355" w14:textId="77777777" w:rsidR="00D04F4E" w:rsidRPr="00D04F4E" w:rsidRDefault="00D04F4E" w:rsidP="00D04F4E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Kompetencje i odpowiedzialności</w:t>
            </w:r>
          </w:p>
        </w:tc>
      </w:tr>
      <w:tr w:rsidR="00D04F4E" w:rsidRPr="00D04F4E" w14:paraId="5A0091C8" w14:textId="77777777" w:rsidTr="00C57AF3">
        <w:tc>
          <w:tcPr>
            <w:tcW w:w="1303" w:type="dxa"/>
          </w:tcPr>
          <w:p w14:paraId="022BC0EB" w14:textId="77777777" w:rsidR="00D04F4E" w:rsidRPr="00D04F4E" w:rsidRDefault="00C57AF3" w:rsidP="00C57AF3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  <w:r w:rsidR="00D04F4E" w:rsidRPr="00D04F4E">
              <w:rPr>
                <w:rFonts w:eastAsia="Times New Roman"/>
                <w:szCs w:val="24"/>
                <w:lang w:eastAsia="pl-PL"/>
              </w:rPr>
              <w:t>.</w:t>
            </w:r>
          </w:p>
        </w:tc>
        <w:tc>
          <w:tcPr>
            <w:tcW w:w="7985" w:type="dxa"/>
          </w:tcPr>
          <w:p w14:paraId="6394AEBE" w14:textId="77777777" w:rsidR="00D04F4E" w:rsidRPr="00D04F4E" w:rsidRDefault="00D04F4E" w:rsidP="00D04F4E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Tryb postępowania</w:t>
            </w:r>
          </w:p>
        </w:tc>
      </w:tr>
      <w:tr w:rsidR="00D04F4E" w:rsidRPr="00D04F4E" w14:paraId="742DD47A" w14:textId="77777777" w:rsidTr="00C57AF3">
        <w:tc>
          <w:tcPr>
            <w:tcW w:w="1303" w:type="dxa"/>
          </w:tcPr>
          <w:p w14:paraId="62E57F92" w14:textId="77777777" w:rsidR="00D04F4E" w:rsidRPr="00D04F4E" w:rsidRDefault="00C57AF3" w:rsidP="00C57AF3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  <w:r w:rsidR="00D04F4E" w:rsidRPr="00D04F4E">
              <w:rPr>
                <w:rFonts w:eastAsia="Times New Roman"/>
                <w:szCs w:val="24"/>
                <w:lang w:eastAsia="pl-PL"/>
              </w:rPr>
              <w:t>.</w:t>
            </w:r>
          </w:p>
        </w:tc>
        <w:tc>
          <w:tcPr>
            <w:tcW w:w="7985" w:type="dxa"/>
          </w:tcPr>
          <w:p w14:paraId="195BDCAF" w14:textId="77777777" w:rsidR="00D04F4E" w:rsidRPr="00D04F4E" w:rsidRDefault="00D04F4E" w:rsidP="00D04F4E">
            <w:pPr>
              <w:spacing w:after="0" w:line="360" w:lineRule="auto"/>
              <w:rPr>
                <w:rFonts w:eastAsia="Times New Roman"/>
                <w:szCs w:val="24"/>
                <w:lang w:eastAsia="pl-PL"/>
              </w:rPr>
            </w:pPr>
            <w:r w:rsidRPr="00D04F4E">
              <w:rPr>
                <w:rFonts w:eastAsia="Times New Roman"/>
                <w:szCs w:val="24"/>
                <w:lang w:eastAsia="pl-PL"/>
              </w:rPr>
              <w:t>Dokumenty związane</w:t>
            </w:r>
          </w:p>
        </w:tc>
      </w:tr>
    </w:tbl>
    <w:p w14:paraId="1D3D4149" w14:textId="77777777" w:rsidR="00D04F4E" w:rsidRPr="00D04F4E" w:rsidRDefault="00D04F4E" w:rsidP="00D04F4E">
      <w:pPr>
        <w:spacing w:after="0" w:line="360" w:lineRule="auto"/>
        <w:rPr>
          <w:rFonts w:eastAsia="Times New Roman"/>
          <w:szCs w:val="24"/>
          <w:lang w:eastAsia="pl-PL"/>
        </w:rPr>
      </w:pPr>
    </w:p>
    <w:p w14:paraId="51FE55D3" w14:textId="77777777" w:rsidR="00D04F4E" w:rsidRPr="00D04F4E" w:rsidRDefault="00D04F4E" w:rsidP="00D04F4E">
      <w:pPr>
        <w:autoSpaceDE w:val="0"/>
        <w:autoSpaceDN w:val="0"/>
        <w:adjustRightInd w:val="0"/>
        <w:spacing w:after="0" w:line="360" w:lineRule="auto"/>
        <w:jc w:val="both"/>
        <w:rPr>
          <w:rFonts w:eastAsia="MS Mincho"/>
          <w:color w:val="000000"/>
          <w:sz w:val="23"/>
          <w:szCs w:val="23"/>
          <w:lang w:eastAsia="ja-JP"/>
        </w:rPr>
      </w:pPr>
      <w:r w:rsidRPr="00D04F4E">
        <w:rPr>
          <w:rFonts w:eastAsia="MS Mincho"/>
          <w:b/>
          <w:bCs/>
          <w:color w:val="000000"/>
          <w:sz w:val="23"/>
          <w:szCs w:val="23"/>
          <w:lang w:eastAsia="ja-JP"/>
        </w:rPr>
        <w:t xml:space="preserve">1. Cel procedury </w:t>
      </w:r>
    </w:p>
    <w:p w14:paraId="252F645C" w14:textId="41CCD939" w:rsidR="00D04F4E" w:rsidRDefault="00D04F4E" w:rsidP="00CC7F98">
      <w:pPr>
        <w:jc w:val="both"/>
      </w:pPr>
      <w:r>
        <w:t xml:space="preserve">Celem procedury jest określenie </w:t>
      </w:r>
      <w:r w:rsidR="00CC7F98">
        <w:t xml:space="preserve">zasad reagowania na konflikty, dyskryminację i przemoc oraz zagrożenia lub naruszenia bezpieczeństwa studentów i pracowników na Wydziale </w:t>
      </w:r>
      <w:proofErr w:type="spellStart"/>
      <w:r w:rsidR="00CC7F98">
        <w:t>Agrobioinżynierii</w:t>
      </w:r>
      <w:proofErr w:type="spellEnd"/>
      <w:r w:rsidR="00CC7F98">
        <w:t>.</w:t>
      </w:r>
    </w:p>
    <w:p w14:paraId="2629D5B2" w14:textId="697B3CA5" w:rsidR="00C57AF3" w:rsidRPr="00C57AF3" w:rsidRDefault="00C57AF3" w:rsidP="00D04F4E">
      <w:pPr>
        <w:spacing w:line="240" w:lineRule="auto"/>
        <w:rPr>
          <w:b/>
        </w:rPr>
      </w:pPr>
      <w:r w:rsidRPr="00C57AF3">
        <w:rPr>
          <w:b/>
        </w:rPr>
        <w:t xml:space="preserve">2. Kompetencje </w:t>
      </w:r>
    </w:p>
    <w:p w14:paraId="2DF7D0F3" w14:textId="3A83A3F5" w:rsidR="00C57AF3" w:rsidRDefault="00C57AF3" w:rsidP="00344685">
      <w:pPr>
        <w:spacing w:after="0"/>
      </w:pPr>
      <w:r>
        <w:t xml:space="preserve">a) Rektor </w:t>
      </w:r>
    </w:p>
    <w:p w14:paraId="1717D877" w14:textId="0AE760DA" w:rsidR="00C57AF3" w:rsidRDefault="00C57AF3" w:rsidP="00344685">
      <w:pPr>
        <w:spacing w:after="0"/>
      </w:pPr>
      <w:r>
        <w:t xml:space="preserve">b) </w:t>
      </w:r>
      <w:bookmarkStart w:id="1" w:name="_Hlk126668215"/>
      <w:r>
        <w:t xml:space="preserve">Prorektor ds. studenckich i dydaktyki </w:t>
      </w:r>
    </w:p>
    <w:bookmarkEnd w:id="1"/>
    <w:p w14:paraId="08D80D13" w14:textId="49B4DCB3" w:rsidR="00C57AF3" w:rsidRDefault="00C57AF3" w:rsidP="00344685">
      <w:pPr>
        <w:spacing w:after="0"/>
      </w:pPr>
      <w:r>
        <w:t xml:space="preserve">c) Dziekan i Prodziekani </w:t>
      </w:r>
      <w:r w:rsidR="00D168D7">
        <w:t>W</w:t>
      </w:r>
      <w:r>
        <w:t xml:space="preserve">ydziału  </w:t>
      </w:r>
    </w:p>
    <w:p w14:paraId="635FFBF2" w14:textId="2AB7F888" w:rsidR="00CC7F98" w:rsidRDefault="00CC7F98" w:rsidP="00CC7F98">
      <w:pPr>
        <w:spacing w:after="0"/>
      </w:pPr>
      <w:r>
        <w:t>e) Wydział</w:t>
      </w:r>
      <w:r w:rsidR="00D168D7">
        <w:t>owa</w:t>
      </w:r>
      <w:r>
        <w:t xml:space="preserve"> Rada Samorządu Studenckiego</w:t>
      </w:r>
    </w:p>
    <w:p w14:paraId="74515897" w14:textId="06D74E2C" w:rsidR="00CC7F98" w:rsidRDefault="00CC7F98" w:rsidP="00CC7F98">
      <w:pPr>
        <w:spacing w:after="0"/>
      </w:pPr>
      <w:r>
        <w:t xml:space="preserve">f) </w:t>
      </w:r>
      <w:r w:rsidR="00D168D7">
        <w:t>s</w:t>
      </w:r>
      <w:r>
        <w:t>tarosta roku</w:t>
      </w:r>
    </w:p>
    <w:p w14:paraId="6FC08559" w14:textId="6EC63951" w:rsidR="00C57AF3" w:rsidRDefault="00CC7F98" w:rsidP="00344685">
      <w:pPr>
        <w:spacing w:after="0"/>
      </w:pPr>
      <w:r>
        <w:lastRenderedPageBreak/>
        <w:t>g</w:t>
      </w:r>
      <w:r w:rsidR="00C57AF3">
        <w:t xml:space="preserve">) studenci </w:t>
      </w:r>
    </w:p>
    <w:p w14:paraId="47C8A822" w14:textId="77777777" w:rsidR="00344685" w:rsidRDefault="00344685" w:rsidP="00344685">
      <w:pPr>
        <w:spacing w:after="0" w:line="240" w:lineRule="auto"/>
      </w:pPr>
    </w:p>
    <w:p w14:paraId="1BAED505" w14:textId="7C124518" w:rsidR="00D04F4E" w:rsidRPr="00D168D7" w:rsidRDefault="00344685" w:rsidP="00D168D7">
      <w:pPr>
        <w:spacing w:line="240" w:lineRule="auto"/>
        <w:rPr>
          <w:b/>
        </w:rPr>
      </w:pPr>
      <w:r w:rsidRPr="00344685">
        <w:rPr>
          <w:b/>
        </w:rPr>
        <w:t>3. Tryb postepowania</w:t>
      </w:r>
      <w:r w:rsidR="00D04F4E">
        <w:t xml:space="preserve"> </w:t>
      </w:r>
    </w:p>
    <w:p w14:paraId="74FF1FFE" w14:textId="2E54602E" w:rsidR="00CC7F98" w:rsidRDefault="00CC7F98" w:rsidP="00414683">
      <w:pPr>
        <w:pStyle w:val="Akapitzlist"/>
        <w:numPr>
          <w:ilvl w:val="0"/>
          <w:numId w:val="2"/>
        </w:numPr>
        <w:spacing w:after="0"/>
        <w:jc w:val="both"/>
      </w:pPr>
      <w:r>
        <w:t xml:space="preserve">Każdy pracownik i student Wydziału </w:t>
      </w:r>
      <w:proofErr w:type="spellStart"/>
      <w:r>
        <w:t>Agrobioinżynierii</w:t>
      </w:r>
      <w:proofErr w:type="spellEnd"/>
      <w:r>
        <w:t xml:space="preserve"> zobowiązany jest do powstrzymywania się od działań lub </w:t>
      </w:r>
      <w:proofErr w:type="spellStart"/>
      <w:r>
        <w:t>zachowań</w:t>
      </w:r>
      <w:proofErr w:type="spellEnd"/>
      <w:r>
        <w:t xml:space="preserve"> noszących znamiona dyskryminacji lub działań niepożądanych oraz do przeciwdziałania ich stosowaniu przez inne osoby.</w:t>
      </w:r>
    </w:p>
    <w:p w14:paraId="7A7B53C6" w14:textId="0FF467C4" w:rsidR="0044539D" w:rsidRDefault="00CC7F98" w:rsidP="00414683">
      <w:pPr>
        <w:pStyle w:val="Akapitzlist"/>
        <w:numPr>
          <w:ilvl w:val="0"/>
          <w:numId w:val="2"/>
        </w:numPr>
        <w:spacing w:after="0"/>
        <w:jc w:val="both"/>
      </w:pPr>
      <w:r>
        <w:t>W razie zaistnienia sytuacji konfliktowej pomiędzy studentkami/studentami a kadrą</w:t>
      </w:r>
      <w:r w:rsidR="0044539D">
        <w:t xml:space="preserve"> </w:t>
      </w:r>
      <w:r>
        <w:t xml:space="preserve">prowadzącą lub obsługującą kształcenie, </w:t>
      </w:r>
      <w:r w:rsidR="0044539D">
        <w:t xml:space="preserve">jak również w przypadku spotkania się z przejawami dyskryminacji, przemocy i innych sytuacji konfliktowych, student osobiście lub za pośrednictwem Rady Samorządu Studenckiego </w:t>
      </w:r>
      <w:r w:rsidR="00A6464B">
        <w:t>może po</w:t>
      </w:r>
      <w:r w:rsidR="0044539D">
        <w:t>inform</w:t>
      </w:r>
      <w:r w:rsidR="00A6464B">
        <w:t>ować</w:t>
      </w:r>
      <w:r w:rsidR="0044539D">
        <w:t xml:space="preserve"> opiekuna roku. Opiekun roku podejmuje próbę rozwiązania sytuacji konfliktowej </w:t>
      </w:r>
      <w:r w:rsidR="0044539D" w:rsidRPr="0044539D">
        <w:t>w drodze rozmowy ze stronami sporu, a także z ewentualnymi świadkami sytuacji konfliktowych</w:t>
      </w:r>
      <w:r w:rsidR="0044539D">
        <w:t xml:space="preserve">. W przypadku, gdy takie działania są niewystarczające, opiekun roku </w:t>
      </w:r>
      <w:r w:rsidR="00414683">
        <w:t xml:space="preserve">może </w:t>
      </w:r>
      <w:proofErr w:type="spellStart"/>
      <w:r w:rsidR="0044539D">
        <w:t>powiadami</w:t>
      </w:r>
      <w:r w:rsidR="00414683">
        <w:t>ć</w:t>
      </w:r>
      <w:proofErr w:type="spellEnd"/>
      <w:r w:rsidR="0044539D">
        <w:t xml:space="preserve"> o zaistniałej sytuacji Prodziekana Wydziału </w:t>
      </w:r>
      <w:proofErr w:type="spellStart"/>
      <w:r w:rsidR="0044539D">
        <w:t>Agrobioinżynierii</w:t>
      </w:r>
      <w:proofErr w:type="spellEnd"/>
      <w:r w:rsidR="0044539D">
        <w:t>. Prodziekan podejmuje działania mające na celu rozwiązanie konfliktu.</w:t>
      </w:r>
    </w:p>
    <w:p w14:paraId="706CB12B" w14:textId="45BD48A0" w:rsidR="00CC7F98" w:rsidRDefault="00CC7F98" w:rsidP="00414683">
      <w:pPr>
        <w:pStyle w:val="Akapitzlist"/>
        <w:numPr>
          <w:ilvl w:val="0"/>
          <w:numId w:val="2"/>
        </w:numPr>
        <w:spacing w:after="0"/>
        <w:jc w:val="both"/>
      </w:pPr>
      <w:r>
        <w:t>Jeżeli sytuacja konfliktowa występuje na linii student-opiekun roku, student osobiście lub</w:t>
      </w:r>
      <w:r w:rsidR="00D168D7">
        <w:t xml:space="preserve"> </w:t>
      </w:r>
      <w:r>
        <w:t xml:space="preserve">za pośrednictwem starosty roku lub Rady Samorządu Studenckiego może powiadomić o sytuacji Prodziekana </w:t>
      </w:r>
      <w:r w:rsidR="0044539D" w:rsidRPr="0044539D">
        <w:t xml:space="preserve">Wydziału </w:t>
      </w:r>
      <w:proofErr w:type="spellStart"/>
      <w:r w:rsidR="0044539D" w:rsidRPr="0044539D">
        <w:t>Agrobioinżynierii</w:t>
      </w:r>
      <w:proofErr w:type="spellEnd"/>
      <w:r>
        <w:t>.</w:t>
      </w:r>
      <w:r w:rsidR="0044539D">
        <w:t xml:space="preserve"> Prodziekan podejmuje działania mające na celu rozwiązanie konfliktu.</w:t>
      </w:r>
    </w:p>
    <w:p w14:paraId="14D5B78F" w14:textId="77CADA61" w:rsidR="0044539D" w:rsidRDefault="0044539D" w:rsidP="00414683">
      <w:pPr>
        <w:pStyle w:val="Akapitzlist"/>
        <w:numPr>
          <w:ilvl w:val="0"/>
          <w:numId w:val="2"/>
        </w:numPr>
        <w:spacing w:after="0"/>
        <w:jc w:val="both"/>
      </w:pPr>
      <w:r>
        <w:t>Pracownik badawczo-dydaktyczny i dydaktyczny w sytuacji zaistnienia konfliktu ze</w:t>
      </w:r>
      <w:r w:rsidR="00D075A8">
        <w:t xml:space="preserve"> </w:t>
      </w:r>
      <w:r>
        <w:t xml:space="preserve">studentem </w:t>
      </w:r>
      <w:r w:rsidR="00414683">
        <w:t>może po</w:t>
      </w:r>
      <w:r>
        <w:t>inform</w:t>
      </w:r>
      <w:r w:rsidR="00414683">
        <w:t>ować</w:t>
      </w:r>
      <w:r>
        <w:t xml:space="preserve"> Prodziekana </w:t>
      </w:r>
      <w:r w:rsidRPr="0044539D">
        <w:t xml:space="preserve">Wydziału </w:t>
      </w:r>
      <w:proofErr w:type="spellStart"/>
      <w:r w:rsidRPr="0044539D">
        <w:t>Agrobioinżynierii</w:t>
      </w:r>
      <w:proofErr w:type="spellEnd"/>
      <w:r>
        <w:t>. Prodziekan podejmuje działania mające na celu rozwiązanie konfliktu.</w:t>
      </w:r>
    </w:p>
    <w:p w14:paraId="65EFA304" w14:textId="790653F0" w:rsidR="0044539D" w:rsidRDefault="0044539D" w:rsidP="00414683">
      <w:pPr>
        <w:pStyle w:val="Akapitzlist"/>
        <w:numPr>
          <w:ilvl w:val="0"/>
          <w:numId w:val="2"/>
        </w:numPr>
        <w:spacing w:after="0"/>
        <w:jc w:val="both"/>
      </w:pPr>
      <w:r>
        <w:t>Pracownik badawczo-dydaktyczny i dydaktyczny w sytuacji zaistnienia konfliktu</w:t>
      </w:r>
      <w:r w:rsidR="00D075A8">
        <w:t xml:space="preserve"> </w:t>
      </w:r>
      <w:r>
        <w:t>z innym pracownikiem, jak również w przypadku spotkania się z przejawami</w:t>
      </w:r>
      <w:r w:rsidR="00D075A8">
        <w:t xml:space="preserve"> </w:t>
      </w:r>
      <w:r>
        <w:t xml:space="preserve">dyskryminacji, przemocy i innych sytuacji konfliktowych, </w:t>
      </w:r>
      <w:r w:rsidR="00414683">
        <w:t>może po</w:t>
      </w:r>
      <w:r>
        <w:t>inform</w:t>
      </w:r>
      <w:r w:rsidR="00414683">
        <w:t>ować</w:t>
      </w:r>
      <w:r>
        <w:t xml:space="preserve"> bezpośredniego</w:t>
      </w:r>
      <w:r w:rsidR="00D075A8">
        <w:t xml:space="preserve"> </w:t>
      </w:r>
      <w:r>
        <w:t xml:space="preserve">przełożonego: </w:t>
      </w:r>
      <w:r w:rsidR="00D075A8">
        <w:t xml:space="preserve">dyrektora Instytutu, </w:t>
      </w:r>
      <w:r>
        <w:t xml:space="preserve">kierownika Katedry, Zakładu lub Pracowni. </w:t>
      </w:r>
      <w:r w:rsidR="00A6464B">
        <w:t>Bezpośredni przełożony</w:t>
      </w:r>
      <w:r>
        <w:t xml:space="preserve"> podejmuje</w:t>
      </w:r>
      <w:r w:rsidR="00D075A8">
        <w:t xml:space="preserve"> </w:t>
      </w:r>
      <w:r>
        <w:t>działania mające na celu rozwiązanie problemu. W przypadku konfliktu z</w:t>
      </w:r>
      <w:r w:rsidR="00D075A8">
        <w:t xml:space="preserve"> </w:t>
      </w:r>
      <w:r>
        <w:t>bezpośrednim przełożonym działania mające na celu rozwiązanie problemu podejmuje</w:t>
      </w:r>
      <w:r w:rsidR="00D075A8">
        <w:t xml:space="preserve"> </w:t>
      </w:r>
      <w:r>
        <w:t>Dziekan Wydziału.</w:t>
      </w:r>
    </w:p>
    <w:p w14:paraId="354DC7E4" w14:textId="1431215C" w:rsidR="00D075A8" w:rsidRDefault="00D075A8" w:rsidP="00414683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Pracownik administracyjny w sytuacji zaistnienia konfliktu z innym pracownikiem, studentem, jak również w przypadku spotkania się z przejawami dyskryminacji, przemocy i innych sytuacji konfliktowych, </w:t>
      </w:r>
      <w:r w:rsidR="00414683">
        <w:t>może po</w:t>
      </w:r>
      <w:r>
        <w:t>inform</w:t>
      </w:r>
      <w:r w:rsidR="00414683">
        <w:t>ować</w:t>
      </w:r>
      <w:r>
        <w:t xml:space="preserve"> bezpośredniego przełożonego, który podejmuje działania mające na celu rozwiązanie problemu. W przypadku konfliktu z bezpośrednim przełożonym działania mające na celu rozwiązanie problemu podejmuje Dziekan Wydziału.</w:t>
      </w:r>
    </w:p>
    <w:p w14:paraId="03FA3DD7" w14:textId="204F7AAE" w:rsidR="00D075A8" w:rsidRDefault="00D075A8" w:rsidP="00414683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 Wydziale </w:t>
      </w:r>
      <w:proofErr w:type="spellStart"/>
      <w:r>
        <w:t>Agrobioinżynierii</w:t>
      </w:r>
      <w:proofErr w:type="spellEnd"/>
      <w:r>
        <w:t xml:space="preserve"> stosowane są następujące sposoby rozwiązywania konfliktów: przeprowadzenie indywidualnej rozmowy z zainteresowanymi stronami, przeprowadzenie mediacji pomiędzy stronami sporu, przeprowadzenie rozmowy ze studentami całej grupy studenckiej, której dotyczy przedmiotowy konflikt (ze wszystkimi pracownikami), jeśli jest to wskazane ze względu na przedmiot sporu. </w:t>
      </w:r>
      <w:r w:rsidRPr="00D075A8">
        <w:t xml:space="preserve">We wszystkich przypadkach konfliktowych podejmowana jest próba rozwiązania sytuacji w drodze polubownej. W drodze działań naprawczych podejmuje się działania w celu uniknięcia konfliktu w przyszłości. W przypadku, kiedy nie nastąpi rozwiązanie </w:t>
      </w:r>
      <w:r w:rsidRPr="00D075A8">
        <w:lastRenderedPageBreak/>
        <w:t xml:space="preserve">konfliktu Prodziekan lub Dziekan Wydziału </w:t>
      </w:r>
      <w:proofErr w:type="spellStart"/>
      <w:r w:rsidRPr="00D075A8">
        <w:t>Agrobioinżynierii</w:t>
      </w:r>
      <w:proofErr w:type="spellEnd"/>
      <w:r w:rsidRPr="00D075A8">
        <w:t xml:space="preserve"> informuje o tym Prorektora ds. studenckich</w:t>
      </w:r>
      <w:r w:rsidR="00D168D7">
        <w:t xml:space="preserve"> i dydaktyki</w:t>
      </w:r>
      <w:r w:rsidRPr="00D075A8">
        <w:t>.</w:t>
      </w:r>
      <w:r w:rsidR="00D168D7">
        <w:t xml:space="preserve"> </w:t>
      </w:r>
      <w:r w:rsidR="00D168D7" w:rsidRPr="00D168D7">
        <w:t xml:space="preserve">Prorektor ds. studenckich i dydaktyki rozstrzyga </w:t>
      </w:r>
      <w:r w:rsidR="00414683">
        <w:t xml:space="preserve">także </w:t>
      </w:r>
      <w:r w:rsidR="00D168D7" w:rsidRPr="00D168D7">
        <w:t>sprawy dotyczące nienależytego wykonania zadań przez władze dziekańskie</w:t>
      </w:r>
      <w:r w:rsidR="00414683">
        <w:t>.</w:t>
      </w:r>
    </w:p>
    <w:p w14:paraId="32230393" w14:textId="4CFC6AB9" w:rsidR="00D075A8" w:rsidRDefault="00D075A8" w:rsidP="00414683">
      <w:pPr>
        <w:pStyle w:val="Akapitzlist"/>
        <w:numPr>
          <w:ilvl w:val="0"/>
          <w:numId w:val="2"/>
        </w:numPr>
        <w:spacing w:after="0"/>
        <w:jc w:val="both"/>
      </w:pPr>
      <w:r>
        <w:t>Pracownicy Wydziału</w:t>
      </w:r>
      <w:r w:rsidR="00D168D7">
        <w:t xml:space="preserve"> </w:t>
      </w:r>
      <w:proofErr w:type="spellStart"/>
      <w:r>
        <w:t>Agrobioinżynierii</w:t>
      </w:r>
      <w:proofErr w:type="spellEnd"/>
      <w:r>
        <w:t xml:space="preserve"> </w:t>
      </w:r>
      <w:r w:rsidR="00A6464B">
        <w:t>powinni</w:t>
      </w:r>
      <w:r>
        <w:t xml:space="preserve"> reagowa</w:t>
      </w:r>
      <w:r w:rsidR="00A6464B">
        <w:t>ć</w:t>
      </w:r>
      <w:r>
        <w:t xml:space="preserve"> na przejawy przemocy i agresji, </w:t>
      </w:r>
      <w:r w:rsidR="00A6464B">
        <w:t xml:space="preserve">dyskryminacji, a także </w:t>
      </w:r>
      <w:r>
        <w:t>z</w:t>
      </w:r>
      <w:r w:rsidR="00A6464B">
        <w:t xml:space="preserve">głaszać </w:t>
      </w:r>
      <w:r>
        <w:t>Dziek</w:t>
      </w:r>
      <w:r w:rsidR="00A6464B">
        <w:t>anowi</w:t>
      </w:r>
      <w:r>
        <w:t xml:space="preserve"> Wydziału zauważon</w:t>
      </w:r>
      <w:r w:rsidR="00A6464B">
        <w:t>e</w:t>
      </w:r>
      <w:r>
        <w:t>, niepokojąc</w:t>
      </w:r>
      <w:r w:rsidR="00A6464B">
        <w:t>e</w:t>
      </w:r>
      <w:r>
        <w:t xml:space="preserve"> zachowa</w:t>
      </w:r>
      <w:r w:rsidR="00A6464B">
        <w:t>nia</w:t>
      </w:r>
      <w:r>
        <w:t xml:space="preserve"> zagrażając</w:t>
      </w:r>
      <w:r w:rsidR="00A6464B">
        <w:t>e</w:t>
      </w:r>
      <w:r>
        <w:t xml:space="preserve"> lub naruszając</w:t>
      </w:r>
      <w:r w:rsidR="00A6464B">
        <w:t>e</w:t>
      </w:r>
      <w:r>
        <w:t xml:space="preserve"> bezpieczeństwo, zdrowie lub życie zarówno studentów, jak i pracowników.</w:t>
      </w:r>
    </w:p>
    <w:p w14:paraId="044CE729" w14:textId="0DA7EFBD" w:rsidR="00CC7F98" w:rsidRDefault="00CC7F98" w:rsidP="00414683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przypadku ujawnienia sytuacji noszącej znamiona </w:t>
      </w:r>
      <w:proofErr w:type="spellStart"/>
      <w:r>
        <w:t>mobbingu</w:t>
      </w:r>
      <w:proofErr w:type="spellEnd"/>
      <w:r>
        <w:t xml:space="preserve"> lub molestowania</w:t>
      </w:r>
      <w:r w:rsidR="00D075A8">
        <w:t xml:space="preserve"> </w:t>
      </w:r>
      <w:r>
        <w:t>seksualnego stosuje się procedurę określoną w zarządzeniu nr 1/2021 Rektora Uniwersytetu</w:t>
      </w:r>
      <w:r w:rsidR="00D075A8">
        <w:t xml:space="preserve"> </w:t>
      </w:r>
      <w:r>
        <w:t>Przyrodniczego w Lublinie z dnia 11 stycznia 2021 r. w sprawie wprowadzenia Regulaminu</w:t>
      </w:r>
      <w:r w:rsidR="00D075A8">
        <w:t xml:space="preserve"> </w:t>
      </w:r>
      <w:r>
        <w:t xml:space="preserve">przeciwdziałania </w:t>
      </w:r>
      <w:proofErr w:type="spellStart"/>
      <w:r>
        <w:t>mobbingowi</w:t>
      </w:r>
      <w:proofErr w:type="spellEnd"/>
      <w:r>
        <w:t xml:space="preserve"> i molestowaniu seksualnemu w Uniwersytecie Przyrodniczym w Lublinie.</w:t>
      </w:r>
    </w:p>
    <w:p w14:paraId="154CD1AF" w14:textId="762771D7" w:rsidR="00D075A8" w:rsidRPr="00BF41D5" w:rsidRDefault="00D075A8" w:rsidP="00414683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Uniwersytecie </w:t>
      </w:r>
      <w:r w:rsidR="00A6464B">
        <w:t xml:space="preserve">Przyrodniczym </w:t>
      </w:r>
      <w:r>
        <w:t xml:space="preserve">w </w:t>
      </w:r>
      <w:r w:rsidR="00A6464B">
        <w:t>Lublinie</w:t>
      </w:r>
      <w:r>
        <w:t xml:space="preserve"> działają rzecznicy dyscyplinarni powołani przez Rektora: </w:t>
      </w:r>
      <w:r w:rsidRPr="00BF41D5">
        <w:t xml:space="preserve">Rzecznik Dyscyplinarny </w:t>
      </w:r>
      <w:r w:rsidR="00414683" w:rsidRPr="00BF41D5">
        <w:t>dla N</w:t>
      </w:r>
      <w:r w:rsidRPr="00BF41D5">
        <w:t xml:space="preserve">auczycieli </w:t>
      </w:r>
      <w:r w:rsidR="00414683" w:rsidRPr="00BF41D5">
        <w:t>A</w:t>
      </w:r>
      <w:r w:rsidRPr="00BF41D5">
        <w:t>kademickich</w:t>
      </w:r>
      <w:r w:rsidR="00414683" w:rsidRPr="00BF41D5">
        <w:t>,</w:t>
      </w:r>
      <w:r w:rsidRPr="00BF41D5">
        <w:t xml:space="preserve"> Rzecznik Dyscyplinarny </w:t>
      </w:r>
      <w:r w:rsidR="00414683" w:rsidRPr="00BF41D5">
        <w:t>dla</w:t>
      </w:r>
      <w:r w:rsidRPr="00BF41D5">
        <w:t xml:space="preserve"> Doktorantów</w:t>
      </w:r>
      <w:r w:rsidR="00414683" w:rsidRPr="00BF41D5">
        <w:t xml:space="preserve"> i </w:t>
      </w:r>
      <w:r w:rsidR="00BF41D5" w:rsidRPr="00BF41D5">
        <w:t xml:space="preserve">Rzecznik Dyscyplinarny dla </w:t>
      </w:r>
      <w:r w:rsidR="00414683" w:rsidRPr="00BF41D5">
        <w:t>Studentów.</w:t>
      </w:r>
    </w:p>
    <w:p w14:paraId="3F14EC7C" w14:textId="0D3B12B0" w:rsidR="00D075A8" w:rsidRDefault="00D075A8" w:rsidP="00414683">
      <w:pPr>
        <w:pStyle w:val="Akapitzlist"/>
        <w:numPr>
          <w:ilvl w:val="0"/>
          <w:numId w:val="2"/>
        </w:numPr>
        <w:spacing w:after="0"/>
        <w:jc w:val="both"/>
      </w:pPr>
      <w:r>
        <w:t>W celu realizacji polityki bezpieczeństwa przez Wydzia</w:t>
      </w:r>
      <w:r w:rsidR="00A6464B">
        <w:t>ł organizowane są szkolenia BHP</w:t>
      </w:r>
      <w:r>
        <w:t>.</w:t>
      </w:r>
    </w:p>
    <w:p w14:paraId="2A8C1B30" w14:textId="7CAE3B72" w:rsidR="00CC7F98" w:rsidRPr="00BF41D5" w:rsidRDefault="00CC7F98" w:rsidP="00956BA2">
      <w:pPr>
        <w:pStyle w:val="Akapitzlist"/>
        <w:numPr>
          <w:ilvl w:val="0"/>
          <w:numId w:val="2"/>
        </w:numPr>
        <w:spacing w:after="0"/>
        <w:jc w:val="both"/>
      </w:pPr>
      <w:r>
        <w:t>Studenci mają możliwość korzystania z indywidualnych, bezpłatnych konsultacji z</w:t>
      </w:r>
      <w:r w:rsidR="00BF41D5">
        <w:t xml:space="preserve"> </w:t>
      </w:r>
      <w:r>
        <w:t xml:space="preserve">psychologiem </w:t>
      </w:r>
      <w:hyperlink r:id="rId6" w:history="1">
        <w:r w:rsidR="00E507E1" w:rsidRPr="00BF41D5">
          <w:rPr>
            <w:rStyle w:val="Hipercze"/>
            <w:color w:val="auto"/>
          </w:rPr>
          <w:t>https://up.lublin.pl/edukacja/student/niepelnosprawni/porady/</w:t>
        </w:r>
      </w:hyperlink>
      <w:r w:rsidRPr="00BF41D5">
        <w:t>.</w:t>
      </w:r>
    </w:p>
    <w:p w14:paraId="5BFBB7BC" w14:textId="7B17FAFA" w:rsidR="00E507E1" w:rsidRDefault="00E507E1" w:rsidP="00414683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 stronie internetowej Wydziału udostępnia się odpowiednie informacje dotyczące sposobów pomocy ofiarom konfliktów, dyskryminacji i przemocy oraz zagrożenia lub naruszenia bezpieczeństwa. Działania informacyjne polegają również na przekazaniu informacji na spotkaniu inauguracyjnym studentów pierwszego roku kierunków prowadzonych na Wydziale oraz </w:t>
      </w:r>
      <w:r w:rsidR="00BF41D5">
        <w:t xml:space="preserve">na </w:t>
      </w:r>
      <w:r>
        <w:t>spotkaniach opiekunów roku z poszczególnymi rocznikami studentów.</w:t>
      </w:r>
    </w:p>
    <w:p w14:paraId="62C48315" w14:textId="77777777" w:rsidR="00CC7F98" w:rsidRDefault="00CC7F98" w:rsidP="00344685">
      <w:pPr>
        <w:spacing w:after="0"/>
        <w:jc w:val="both"/>
      </w:pPr>
    </w:p>
    <w:p w14:paraId="27E5AA07" w14:textId="77777777" w:rsidR="00C57AF3" w:rsidRPr="00344685" w:rsidRDefault="00D04F4E" w:rsidP="00D04F4E">
      <w:pPr>
        <w:jc w:val="both"/>
        <w:rPr>
          <w:b/>
        </w:rPr>
      </w:pPr>
      <w:r>
        <w:t xml:space="preserve"> </w:t>
      </w:r>
      <w:r w:rsidR="00344685" w:rsidRPr="00344685">
        <w:rPr>
          <w:b/>
        </w:rPr>
        <w:t>4. Dokumenty związane</w:t>
      </w:r>
    </w:p>
    <w:p w14:paraId="7A2F9204" w14:textId="77777777" w:rsidR="00BF41D5" w:rsidRPr="00344685" w:rsidRDefault="00BF41D5" w:rsidP="00BF41D5">
      <w:pPr>
        <w:numPr>
          <w:ilvl w:val="0"/>
          <w:numId w:val="1"/>
        </w:numPr>
        <w:spacing w:after="0"/>
        <w:jc w:val="both"/>
        <w:rPr>
          <w:i/>
        </w:rPr>
      </w:pPr>
      <w:r w:rsidRPr="00344685">
        <w:rPr>
          <w:i/>
        </w:rPr>
        <w:t>Ustawa Prawo o szkolnictwie wyższym i nauce z dnia 20 lipca 2018r. (Dz. U. 2018 poz. 1668).</w:t>
      </w:r>
    </w:p>
    <w:p w14:paraId="0E0196D9" w14:textId="77777777" w:rsidR="00BF41D5" w:rsidRPr="00D168D7" w:rsidRDefault="00BF41D5" w:rsidP="00BF41D5">
      <w:pPr>
        <w:numPr>
          <w:ilvl w:val="0"/>
          <w:numId w:val="1"/>
        </w:numPr>
        <w:spacing w:after="0"/>
        <w:jc w:val="both"/>
        <w:rPr>
          <w:i/>
        </w:rPr>
      </w:pPr>
      <w:r w:rsidRPr="00D168D7">
        <w:rPr>
          <w:i/>
        </w:rPr>
        <w:t xml:space="preserve">Zarządzenie Rektora Uniwersytetu Przyrodniczego w Lublinie z dnia 11 stycznia 2021 r. w sprawie wprowadzenia Regulaminu przeciwdziałania </w:t>
      </w:r>
      <w:proofErr w:type="spellStart"/>
      <w:r w:rsidRPr="00D168D7">
        <w:rPr>
          <w:i/>
        </w:rPr>
        <w:t>mobbingowi</w:t>
      </w:r>
      <w:proofErr w:type="spellEnd"/>
      <w:r w:rsidRPr="00D168D7">
        <w:rPr>
          <w:i/>
        </w:rPr>
        <w:t xml:space="preserve"> i molestowaniu seksualnemu w Uniwersytecie Przyrodniczym w Lublinie</w:t>
      </w:r>
      <w:r>
        <w:rPr>
          <w:i/>
        </w:rPr>
        <w:t>.</w:t>
      </w:r>
    </w:p>
    <w:p w14:paraId="32803E8F" w14:textId="77777777" w:rsidR="00344685" w:rsidRPr="00344685" w:rsidRDefault="00344685" w:rsidP="00344685">
      <w:pPr>
        <w:numPr>
          <w:ilvl w:val="0"/>
          <w:numId w:val="1"/>
        </w:numPr>
        <w:spacing w:after="0"/>
        <w:jc w:val="both"/>
        <w:rPr>
          <w:i/>
        </w:rPr>
      </w:pPr>
      <w:r w:rsidRPr="00344685">
        <w:rPr>
          <w:i/>
        </w:rPr>
        <w:t>Uchwała Senatu Uniwersytetu Przyrodniczego w Lublinie nr 53/2019-2020 z dnia 28 lutego 2020 r. w sprawie wewnętrznego systemu zarządzania jakością kształcenia w Uniwersytecie Przyrodniczym w Lublinie.</w:t>
      </w:r>
    </w:p>
    <w:p w14:paraId="7CECB0DD" w14:textId="77777777" w:rsidR="00344685" w:rsidRPr="00344685" w:rsidRDefault="00344685" w:rsidP="00344685">
      <w:pPr>
        <w:numPr>
          <w:ilvl w:val="0"/>
          <w:numId w:val="1"/>
        </w:numPr>
        <w:spacing w:after="0"/>
        <w:jc w:val="both"/>
        <w:rPr>
          <w:i/>
        </w:rPr>
      </w:pPr>
      <w:r w:rsidRPr="00344685">
        <w:rPr>
          <w:i/>
        </w:rPr>
        <w:t>Zarządzenie Rektora Uniwersytetu Przyrodniczego w Lublinie nr 20/2020 z dnia 28.02.2020 w sprawie wprowadzenia procedur funkcjonowania wewnętrznego systemu zarządzania jakością kształcenia oraz określenia wzorów ankiet oceniających jakość kształcenia w UP w Lublinie.</w:t>
      </w:r>
    </w:p>
    <w:p w14:paraId="44DA08E1" w14:textId="77777777" w:rsidR="00344685" w:rsidRDefault="00344685" w:rsidP="00D04F4E">
      <w:pPr>
        <w:jc w:val="both"/>
      </w:pPr>
    </w:p>
    <w:p w14:paraId="7B9384F7" w14:textId="77777777" w:rsidR="00344685" w:rsidRDefault="00344685" w:rsidP="00D04F4E">
      <w:pPr>
        <w:jc w:val="both"/>
      </w:pPr>
    </w:p>
    <w:p w14:paraId="6560E0C7" w14:textId="77777777" w:rsidR="00344685" w:rsidRDefault="00344685" w:rsidP="00D04F4E">
      <w:pPr>
        <w:jc w:val="both"/>
      </w:pPr>
    </w:p>
    <w:p w14:paraId="509C259B" w14:textId="77777777" w:rsidR="00C57AF3" w:rsidRDefault="00C57AF3" w:rsidP="00D04F4E">
      <w:pPr>
        <w:jc w:val="both"/>
      </w:pPr>
    </w:p>
    <w:p w14:paraId="115B9A0E" w14:textId="77777777" w:rsidR="00D04F4E" w:rsidRDefault="00D04F4E" w:rsidP="00D04F4E">
      <w:pPr>
        <w:jc w:val="both"/>
      </w:pPr>
    </w:p>
    <w:p w14:paraId="0231D066" w14:textId="77777777" w:rsidR="00D04F4E" w:rsidRDefault="00D04F4E" w:rsidP="00C57AF3">
      <w:pPr>
        <w:ind w:left="5664" w:firstLine="708"/>
        <w:rPr>
          <w:b/>
        </w:rPr>
      </w:pPr>
      <w:r>
        <w:rPr>
          <w:b/>
        </w:rPr>
        <w:t>Załącznik nr 1</w:t>
      </w:r>
      <w:r w:rsidR="00C57AF3">
        <w:rPr>
          <w:b/>
        </w:rPr>
        <w:t xml:space="preserve"> WA-A6</w:t>
      </w:r>
    </w:p>
    <w:p w14:paraId="4C148D34" w14:textId="77777777" w:rsidR="00D04F4E" w:rsidRDefault="00D04F4E" w:rsidP="00D04F4E">
      <w:pPr>
        <w:jc w:val="center"/>
      </w:pPr>
      <w:r>
        <w:t>PROTOKÓŁ PRZYJĘCIA SKARGI USTNEJ / WNIOSKU USTNEGO</w:t>
      </w:r>
    </w:p>
    <w:p w14:paraId="4B79EDEB" w14:textId="77777777" w:rsidR="00D04F4E" w:rsidRDefault="00D04F4E" w:rsidP="00D04F4E">
      <w:pPr>
        <w:jc w:val="center"/>
      </w:pPr>
      <w:r>
        <w:t xml:space="preserve">WYDZIAŁ </w:t>
      </w:r>
      <w:r w:rsidR="00C57AF3">
        <w:t>AGROBIOINŻYNIERII</w:t>
      </w:r>
    </w:p>
    <w:p w14:paraId="1FA91BAD" w14:textId="77777777" w:rsidR="00D04F4E" w:rsidRDefault="00D04F4E" w:rsidP="00D04F4E">
      <w:pPr>
        <w:jc w:val="center"/>
      </w:pPr>
    </w:p>
    <w:p w14:paraId="35978461" w14:textId="77777777" w:rsidR="00D04F4E" w:rsidRDefault="00D04F4E" w:rsidP="00D04F4E">
      <w:r>
        <w:t>W dniu ………………………… Pan/Pani ………………………………………...….</w:t>
      </w:r>
    </w:p>
    <w:p w14:paraId="10BE507D" w14:textId="77777777" w:rsidR="00D04F4E" w:rsidRDefault="00D04F4E" w:rsidP="00D04F4E">
      <w:r>
        <w:t>student/a (kierunek, rok, poziom i forma) …………..………………………………..</w:t>
      </w:r>
    </w:p>
    <w:p w14:paraId="70227751" w14:textId="77777777" w:rsidR="00D04F4E" w:rsidRDefault="00D04F4E" w:rsidP="00D04F4E">
      <w:r>
        <w:t>tel./mail ……………………………………………...……………………….……...</w:t>
      </w:r>
    </w:p>
    <w:p w14:paraId="75484932" w14:textId="77777777" w:rsidR="00D04F4E" w:rsidRDefault="00D04F4E" w:rsidP="00D04F4E">
      <w:r>
        <w:t xml:space="preserve">złożył(a) skargę/wniosek w sprawie </w:t>
      </w:r>
    </w:p>
    <w:p w14:paraId="712CFD38" w14:textId="77777777" w:rsidR="00D04F4E" w:rsidRDefault="00D04F4E" w:rsidP="00D04F4E">
      <w:r>
        <w:t>………………………………………………………..……..……………………..………</w:t>
      </w:r>
    </w:p>
    <w:p w14:paraId="65FB497F" w14:textId="77777777" w:rsidR="00D04F4E" w:rsidRDefault="00D04F4E" w:rsidP="00D04F4E">
      <w:r>
        <w:t>……………………………………………………………………………………..………</w:t>
      </w:r>
    </w:p>
    <w:p w14:paraId="743F8C96" w14:textId="77777777" w:rsidR="00D04F4E" w:rsidRDefault="00D04F4E" w:rsidP="00D04F4E">
      <w:r>
        <w:t>…………………………………………………………….………………………..………</w:t>
      </w:r>
    </w:p>
    <w:p w14:paraId="45015592" w14:textId="77777777" w:rsidR="00D04F4E" w:rsidRDefault="00D04F4E" w:rsidP="00D04F4E">
      <w:r>
        <w:t>……………………………………………………………………………………..………</w:t>
      </w:r>
    </w:p>
    <w:p w14:paraId="5F3C9E46" w14:textId="77777777" w:rsidR="00D04F4E" w:rsidRDefault="00D04F4E" w:rsidP="00D04F4E">
      <w:r>
        <w:t>……………………………………………………………………………………..………</w:t>
      </w:r>
    </w:p>
    <w:p w14:paraId="3390D446" w14:textId="77777777" w:rsidR="00D04F4E" w:rsidRDefault="00D04F4E" w:rsidP="00D04F4E">
      <w:r>
        <w:t>Do skargi/wniosku załączono następujące dokumenty:</w:t>
      </w:r>
    </w:p>
    <w:p w14:paraId="562C4A09" w14:textId="77777777" w:rsidR="00D04F4E" w:rsidRDefault="00D04F4E" w:rsidP="00D04F4E">
      <w:r>
        <w:t>1. ……………………………</w:t>
      </w:r>
    </w:p>
    <w:p w14:paraId="7C21157B" w14:textId="77777777" w:rsidR="00D04F4E" w:rsidRDefault="00D04F4E" w:rsidP="00D04F4E">
      <w:r>
        <w:t>2. ……………………………</w:t>
      </w:r>
    </w:p>
    <w:p w14:paraId="1C420433" w14:textId="77777777" w:rsidR="00D04F4E" w:rsidRDefault="00D04F4E" w:rsidP="00D04F4E">
      <w:r>
        <w:t>3. …………………………….</w:t>
      </w:r>
    </w:p>
    <w:p w14:paraId="2BA7DD63" w14:textId="77777777" w:rsidR="00D04F4E" w:rsidRDefault="00D04F4E" w:rsidP="00D04F4E"/>
    <w:p w14:paraId="61E4F608" w14:textId="77777777" w:rsidR="00D04F4E" w:rsidRDefault="00D04F4E" w:rsidP="00D04F4E"/>
    <w:p w14:paraId="27BF6D4B" w14:textId="77777777" w:rsidR="00D04F4E" w:rsidRDefault="00D04F4E" w:rsidP="00D04F4E"/>
    <w:p w14:paraId="75D0AEA9" w14:textId="77777777" w:rsidR="00D04F4E" w:rsidRDefault="00D04F4E" w:rsidP="00D04F4E"/>
    <w:p w14:paraId="61C9701F" w14:textId="77777777" w:rsidR="00D04F4E" w:rsidRDefault="00D04F4E" w:rsidP="00D04F4E">
      <w:r>
        <w:t>………………………………………                              ………………………………………</w:t>
      </w:r>
    </w:p>
    <w:p w14:paraId="07DF304E" w14:textId="77777777" w:rsidR="00D04F4E" w:rsidRDefault="00D04F4E" w:rsidP="00D04F4E">
      <w:pPr>
        <w:rPr>
          <w:i/>
        </w:rPr>
      </w:pPr>
      <w:r>
        <w:rPr>
          <w:i/>
        </w:rPr>
        <w:t>(podpis wnoszącego skargę/wniosek)                           (podpis przyjmującego skargę/wniosek)</w:t>
      </w:r>
    </w:p>
    <w:p w14:paraId="184CC80D" w14:textId="77777777" w:rsidR="00055CE6" w:rsidRDefault="00055CE6"/>
    <w:sectPr w:rsidR="0005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D4C"/>
    <w:multiLevelType w:val="hybridMultilevel"/>
    <w:tmpl w:val="250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522"/>
    <w:multiLevelType w:val="hybridMultilevel"/>
    <w:tmpl w:val="C3C0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91A"/>
    <w:multiLevelType w:val="hybridMultilevel"/>
    <w:tmpl w:val="2856BE8C"/>
    <w:lvl w:ilvl="0" w:tplc="DDE887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A"/>
    <w:rsid w:val="00055CE6"/>
    <w:rsid w:val="002D3214"/>
    <w:rsid w:val="00344685"/>
    <w:rsid w:val="00414683"/>
    <w:rsid w:val="0044539D"/>
    <w:rsid w:val="00482B09"/>
    <w:rsid w:val="0084204B"/>
    <w:rsid w:val="008E5418"/>
    <w:rsid w:val="00A6464B"/>
    <w:rsid w:val="00AC62BA"/>
    <w:rsid w:val="00BF41D5"/>
    <w:rsid w:val="00C57AF3"/>
    <w:rsid w:val="00CC7F98"/>
    <w:rsid w:val="00D04F4E"/>
    <w:rsid w:val="00D075A8"/>
    <w:rsid w:val="00D168D7"/>
    <w:rsid w:val="00D877A7"/>
    <w:rsid w:val="00E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7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F4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F4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.lublin.pl/edukacja/student/niepelnosprawni/pora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2023-02-07T12:33:00Z</dcterms:created>
  <dcterms:modified xsi:type="dcterms:W3CDTF">2023-02-15T19:17:00Z</dcterms:modified>
</cp:coreProperties>
</file>